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footer.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EC38EA6" w:rsidP="332BD677" w:rsidRDefault="0EC38EA6" w14:paraId="09A9844B" w14:textId="4B9D8072">
      <w:pPr>
        <w:pStyle w:val="Normal"/>
        <w:jc w:val="center"/>
      </w:pPr>
      <w:r w:rsidR="67887C65">
        <w:drawing>
          <wp:inline wp14:editId="25A3FE72" wp14:anchorId="6CB8EBFA">
            <wp:extent cx="3048000" cy="4572000"/>
            <wp:effectExtent l="0" t="0" r="0" b="0"/>
            <wp:docPr id="2013273850" name="" descr="The records of the Archives of Ontario offer insights into the story of the land we now call Ontario.&#10;&#10;These flashcards are colour-coded to correspond to Ontario’s Grade 7/8 Social Studies curriculum:&#10;&#10;Geography - Green cards use terms for learning about geography.&#10;&#10;History - Blue cards use terms for studying history.&#10;&#10;Archives of Ontario logo. Government of Ontario logo." title="Grade 7/8 Social Studies Flash Cards."/>
            <wp:cNvGraphicFramePr>
              <a:graphicFrameLocks noChangeAspect="1"/>
            </wp:cNvGraphicFramePr>
            <a:graphic>
              <a:graphicData uri="http://schemas.openxmlformats.org/drawingml/2006/picture">
                <pic:pic>
                  <pic:nvPicPr>
                    <pic:cNvPr id="0" name=""/>
                    <pic:cNvPicPr/>
                  </pic:nvPicPr>
                  <pic:blipFill>
                    <a:blip r:embed="R795eaa990e06457a">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5E649140" w:rsidP="47668A30" w:rsidRDefault="5E649140" w14:paraId="6423C6C2" w14:textId="7A594366" w14:noSpellErr="1">
      <w:pPr>
        <w:jc w:val="center"/>
      </w:pPr>
      <w:r>
        <w:br w:type="page"/>
      </w:r>
      <w:r w:rsidR="0683E196">
        <w:drawing>
          <wp:inline wp14:editId="4C1E219C" wp14:anchorId="228D91F6">
            <wp:extent cx="4572000" cy="3048000"/>
            <wp:effectExtent l="0" t="0" r="0" b="0"/>
            <wp:docPr id="673792365" name="" descr="A black and white photo of a Caucasian woman driving a pack of three horses through a grain field. The woman, at left, is wearing a sunhat riding a reaper-binder that cuts and gathers grain, holding onto the horse reigns, with a whip next to her. The three horses are harnessed together wearing blinders over their eyes. Grain fills the foreground while a clear sky is in the background.  " title="Agriculture."/>
            <wp:cNvGraphicFramePr>
              <a:graphicFrameLocks noChangeAspect="1"/>
            </wp:cNvGraphicFramePr>
            <a:graphic>
              <a:graphicData uri="http://schemas.openxmlformats.org/drawingml/2006/picture">
                <pic:pic>
                  <pic:nvPicPr>
                    <pic:cNvPr id="0" name=""/>
                    <pic:cNvPicPr/>
                  </pic:nvPicPr>
                  <pic:blipFill>
                    <a:blip r:embed="Ra5ff7a7b53a14cf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75023AE" w:rsidP="47668A30" w:rsidRDefault="175023AE" w14:paraId="3A1D4928" w14:textId="6A42B873">
      <w:pPr>
        <w:jc w:val="center"/>
      </w:pPr>
      <w:r>
        <w:br w:type="page"/>
      </w:r>
      <w:r w:rsidR="6F8E3487">
        <w:drawing>
          <wp:inline wp14:editId="43151F08" wp14:anchorId="190D82CF">
            <wp:extent cx="4572000" cy="3048000"/>
            <wp:effectExtent l="0" t="0" r="0" b="0"/>
            <wp:docPr id="1134995955" name="" descr="Agriculture, the art and science of preparing soil for planting, growing crops and raising livestock, has always involved women. Women have played vital roles on Ontario’s farms through tasks such as harvesting crops, raising chickens, feeding and milking cows, producing butter, preserves and other products, and more. Women’s Institutes, first established in 1897 as a means of sharing domestic knowledge between women on farms, eventually joined forces to represent the voices of many rural women provincewide.&#10;&#10;Woman driving a horse-drawn binder, between 1900-1920 (I0014240)" title="Agriculture."/>
            <wp:cNvGraphicFramePr>
              <a:graphicFrameLocks noChangeAspect="1"/>
            </wp:cNvGraphicFramePr>
            <a:graphic>
              <a:graphicData uri="http://schemas.openxmlformats.org/drawingml/2006/picture">
                <pic:pic>
                  <pic:nvPicPr>
                    <pic:cNvPr id="0" name=""/>
                    <pic:cNvPicPr/>
                  </pic:nvPicPr>
                  <pic:blipFill>
                    <a:blip r:embed="Rc36ddee732644473">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F8BE74F" w:rsidP="47668A30" w:rsidRDefault="4F8BE74F" w14:paraId="1FD4A771" w14:textId="38E73CF1" w14:noSpellErr="1">
      <w:pPr>
        <w:jc w:val="center"/>
      </w:pPr>
      <w:r>
        <w:br w:type="page"/>
      </w:r>
      <w:r w:rsidR="600C9245">
        <w:drawing>
          <wp:inline wp14:editId="2A7C38F1" wp14:anchorId="7A31FF83">
            <wp:extent cx="4572000" cy="3048000"/>
            <wp:effectExtent l="0" t="0" r="0" b="0"/>
            <wp:docPr id="70707577" name="" descr="A black and white photo of a river. At left is grass. In the background and at right are stands of tall trees. The river bends into the image headed left to right from the horizon of trees. The river continues at right. In the right foreground is a makeshift tent or piece of cloth hanging from posts." title="Boreal Forest."/>
            <wp:cNvGraphicFramePr>
              <a:graphicFrameLocks noChangeAspect="1"/>
            </wp:cNvGraphicFramePr>
            <a:graphic>
              <a:graphicData uri="http://schemas.openxmlformats.org/drawingml/2006/picture">
                <pic:pic>
                  <pic:nvPicPr>
                    <pic:cNvPr id="0" name=""/>
                    <pic:cNvPicPr/>
                  </pic:nvPicPr>
                  <pic:blipFill>
                    <a:blip r:embed="R9d4bb3b0c30249c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53FEB12F" w:rsidP="1F10EA6A" w:rsidRDefault="53FEB12F" w14:paraId="41D28CB4" w14:noSpellErr="1" w14:textId="5ABE5914">
      <w:pPr>
        <w:jc w:val="center"/>
      </w:pPr>
      <w:r>
        <w:br w:type="page"/>
      </w:r>
      <w:r w:rsidR="53FEB12F">
        <w:drawing>
          <wp:inline wp14:editId="03EF33E5" wp14:anchorId="2CAC3269">
            <wp:extent cx="4572000" cy="3048000"/>
            <wp:effectExtent l="0" t="0" r="0" b="0"/>
            <wp:docPr id="872574173" name="" descr="Ontario’s boreal forest is the largest forest region in Ontario and Canada, extending from the northern limits of the Great Lakes–St. Lawrence forest to the Hudson Bay Lowlands. Black and white spruce, jack pine, balsam fir, tamarack, eastern white cedar, poplar, and white birch dominate the region. The area’s diverse wildlife includes black bears, wolves, lynx, moose, caribou, many birds, and small mammals, such as the pine marten, hare, red fox, and porcupine.&#10;&#10;Abitibi River - from New Post, ca. 1905 (I0010572)" title="Boreal Forest."/>
            <wp:cNvGraphicFramePr>
              <a:graphicFrameLocks noChangeAspect="1"/>
            </wp:cNvGraphicFramePr>
            <a:graphic>
              <a:graphicData uri="http://schemas.openxmlformats.org/drawingml/2006/picture">
                <pic:pic>
                  <pic:nvPicPr>
                    <pic:cNvPr id="0" name=""/>
                    <pic:cNvPicPr/>
                  </pic:nvPicPr>
                  <pic:blipFill>
                    <a:blip r:embed="R5e85dfec60be4b5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0ED52EB" w14:textId="2F9BA610" w14:noSpellErr="1">
      <w:pPr>
        <w:jc w:val="center"/>
      </w:pPr>
      <w:r>
        <w:br w:type="page"/>
      </w:r>
      <w:r w:rsidR="6EF2C143">
        <w:drawing>
          <wp:inline wp14:editId="5348E8C0" wp14:anchorId="438AA0EB">
            <wp:extent cx="4572000" cy="3048000"/>
            <wp:effectExtent l="0" t="0" r="0" b="0"/>
            <wp:docPr id="857819444" name="" descr="A black and white photo of seven mustached Caucasian men in a military fort. From left to right: a solider wearing a military cap and uniform stands; a man wearing a suit and high boots holding his fedora on his knee sits on a chair; a white haired man dressed informally sits hands clasped, cross-legged on the ground; another man wearing a suit and boots holding his fedora sits on a chair; another man wearing a suit sits on a chair; another solider stands; and another man wearing a suit and tie sits hands clasped, cross-legged on the ground. They are arranged before a flagpole flying the Union Jack, and a tent. In the background are four more tents and a wooden fence." title="Colonization."/>
            <wp:cNvGraphicFramePr>
              <a:graphicFrameLocks noChangeAspect="1"/>
            </wp:cNvGraphicFramePr>
            <a:graphic>
              <a:graphicData uri="http://schemas.openxmlformats.org/drawingml/2006/picture">
                <pic:pic>
                  <pic:nvPicPr>
                    <pic:cNvPr id="0" name=""/>
                    <pic:cNvPicPr/>
                  </pic:nvPicPr>
                  <pic:blipFill>
                    <a:blip r:embed="R473975f1dc01429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251E33D8" w14:textId="4AD95EF4" w14:noSpellErr="1">
      <w:pPr>
        <w:jc w:val="center"/>
      </w:pPr>
      <w:r>
        <w:br w:type="page"/>
      </w:r>
      <w:r w:rsidR="7DD6DF99">
        <w:drawing>
          <wp:inline wp14:editId="632FAF5B" wp14:anchorId="5A350D92">
            <wp:extent cx="4572000" cy="3048000"/>
            <wp:effectExtent l="0" t="0" r="0" b="0"/>
            <wp:docPr id="676948500" name="" descr="Colonization is the act or process of settling among and establishing control over the Indigenous people living in an area. In Ontario, settlers and governments have used treaties to push Indigenous peoples from their traditional territories and promote resource development. This photograph shows the commissioners who brought Treaty No. 9 to First Nations communities around the James Bay watershed for signature in 1905-1906.&#10;&#10;The Commissioners – Fort Albany, August 3, 1905  &#10;(I0010627)" title="Colonization."/>
            <wp:cNvGraphicFramePr>
              <a:graphicFrameLocks noChangeAspect="1"/>
            </wp:cNvGraphicFramePr>
            <a:graphic>
              <a:graphicData uri="http://schemas.openxmlformats.org/drawingml/2006/picture">
                <pic:pic>
                  <pic:nvPicPr>
                    <pic:cNvPr id="0" name=""/>
                    <pic:cNvPicPr/>
                  </pic:nvPicPr>
                  <pic:blipFill>
                    <a:blip r:embed="R14846171b47c43c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236AA98F" w14:textId="05730FD4" w14:noSpellErr="1">
      <w:pPr>
        <w:jc w:val="center"/>
      </w:pPr>
      <w:r>
        <w:br w:type="page"/>
      </w:r>
      <w:r w:rsidR="60B0E404">
        <w:drawing>
          <wp:inline wp14:editId="31F7D0FB" wp14:anchorId="48676AED">
            <wp:extent cx="4572000" cy="3048000"/>
            <wp:effectExtent l="0" t="0" r="0" b="0"/>
            <wp:docPr id="55991894" name="" descr="A colour painting of 34 Caucasian men assembled in a large room around a central table, draped in a red tablecloth. Most are seated, although 11 of them are standing. A few men are seated at a smaller table at left. They are all dressed formally, sporting hair styles of the mid-19th century, including a lot of sideburns and mustaches. At centre, Canada’s first Prime Minister John A. MacDonald stands holding a piece of paper. Ontario’s Father of Confederation George Brown stands holding onto a chair, at right. Three large multi-paned windows with arched tops appear in the background with green curtains in between them." title="Confederation."/>
            <wp:cNvGraphicFramePr>
              <a:graphicFrameLocks noChangeAspect="1"/>
            </wp:cNvGraphicFramePr>
            <a:graphic>
              <a:graphicData uri="http://schemas.openxmlformats.org/drawingml/2006/picture">
                <pic:pic>
                  <pic:nvPicPr>
                    <pic:cNvPr id="0" name=""/>
                    <pic:cNvPicPr/>
                  </pic:nvPicPr>
                  <pic:blipFill>
                    <a:blip r:embed="R79f95b3472f8483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14285CC3" w14:textId="199A3805" w14:noSpellErr="1">
      <w:pPr>
        <w:jc w:val="center"/>
      </w:pPr>
      <w:r>
        <w:br w:type="page"/>
      </w:r>
      <w:r w:rsidR="7530F556">
        <w:drawing>
          <wp:inline wp14:editId="0278DDD8" wp14:anchorId="38827204">
            <wp:extent cx="4572000" cy="3048000"/>
            <wp:effectExtent l="0" t="0" r="0" b="0"/>
            <wp:docPr id="1968598657" name="" descr="Confederation is the process that formed Canada (previously the Dominion of Canada) by uniting the British colonies of the Province of Canada (now Ontario and Quebec), Nova Scotia, and New Brunswick. Settler political leaders—the “Fathers of Confederation”—began discussions in 1864 that led to the passing of the British North America Act, creating the new Dominion of Canada on July 1, 1867. Since Confederation, the country has grown to ten provinces and three territories.&#10;&#10;Fathers of Confederation by Frederick Spronston Challener, [1917-1919] (AC605057) " title="Confederation."/>
            <wp:cNvGraphicFramePr>
              <a:graphicFrameLocks noChangeAspect="1"/>
            </wp:cNvGraphicFramePr>
            <a:graphic>
              <a:graphicData uri="http://schemas.openxmlformats.org/drawingml/2006/picture">
                <pic:pic>
                  <pic:nvPicPr>
                    <pic:cNvPr id="0" name=""/>
                    <pic:cNvPicPr/>
                  </pic:nvPicPr>
                  <pic:blipFill>
                    <a:blip r:embed="R155c808ce93f46a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03B411C6" w14:textId="7C250EBE" w14:noSpellErr="1">
      <w:pPr>
        <w:jc w:val="center"/>
      </w:pPr>
      <w:r>
        <w:br w:type="page"/>
      </w:r>
      <w:r w:rsidR="56DF546A">
        <w:drawing>
          <wp:inline wp14:editId="6C520EA2" wp14:anchorId="1836762D">
            <wp:extent cx="4572000" cy="3048000"/>
            <wp:effectExtent l="0" t="0" r="0" b="0"/>
            <wp:docPr id="1320520281" name="" descr="A black and white photo showing a large pile of logs stacked into a large pile several metres high. Two Caucasian men, wearing dark clothes and cloth caps, sit on top of the logs with a small white dog. Behind the pile of logs, pine trees can be seen in the background." title="Deforestation."/>
            <wp:cNvGraphicFramePr>
              <a:graphicFrameLocks noChangeAspect="1"/>
            </wp:cNvGraphicFramePr>
            <a:graphic>
              <a:graphicData uri="http://schemas.openxmlformats.org/drawingml/2006/picture">
                <pic:pic>
                  <pic:nvPicPr>
                    <pic:cNvPr id="0" name=""/>
                    <pic:cNvPicPr/>
                  </pic:nvPicPr>
                  <pic:blipFill>
                    <a:blip r:embed="R41e3d5acd66b4df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05877A13" w14:textId="50643314" w14:noSpellErr="1">
      <w:pPr>
        <w:jc w:val="center"/>
      </w:pPr>
      <w:r>
        <w:br w:type="page"/>
      </w:r>
      <w:r w:rsidR="1EBEBDCF">
        <w:drawing>
          <wp:inline wp14:editId="1116FF7B" wp14:anchorId="61370A6C">
            <wp:extent cx="4572000" cy="3048000"/>
            <wp:effectExtent l="0" t="0" r="0" b="0"/>
            <wp:docPr id="955708486" name="" descr="Deforestation—the clearcutting of trees—permanently converts forests to other uses, such as agriculture, urban development, transportation, and industry. Often the result of human activity, deforestation can also occur through natural events, like forest fires. Removing trees without enough re-planting causes habitat damage, biodiversity loss, and climate change. In southern Ontario, forests are mainly lost to development and agriculture, whereas in northern Ontario, they are often lost to permanent forest road construction and mining.&#10;&#10;Men sitting on logs stacked into a large pile before the logs will be floated to the mill, near Spanish River, Algoma District, [1902] (I0003297)" title="Deforestation."/>
            <wp:cNvGraphicFramePr>
              <a:graphicFrameLocks noChangeAspect="1"/>
            </wp:cNvGraphicFramePr>
            <a:graphic>
              <a:graphicData uri="http://schemas.openxmlformats.org/drawingml/2006/picture">
                <pic:pic>
                  <pic:nvPicPr>
                    <pic:cNvPr id="0" name=""/>
                    <pic:cNvPicPr/>
                  </pic:nvPicPr>
                  <pic:blipFill>
                    <a:blip r:embed="R43b2b9fa703c4d3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15D9A6CB" w14:textId="493D0A15" w14:noSpellErr="1">
      <w:pPr>
        <w:jc w:val="center"/>
      </w:pPr>
      <w:r>
        <w:br w:type="page"/>
      </w:r>
      <w:r w:rsidR="049B67B7">
        <w:drawing>
          <wp:inline wp14:editId="54356919" wp14:anchorId="7F1C1953">
            <wp:extent cx="4572000" cy="3048000"/>
            <wp:effectExtent l="0" t="0" r="0" b="0"/>
            <wp:docPr id="419151046" name="" descr="A black and white photo of Henry Kechebra, an Oji-Cree man sitting on a large driftwood tree, among other driftwood, on a beach overlooking a lake. Kechebra is at left, wearing an open crown hat with a ribbon, a collared shirt and pants. He is facing the left side of the photo and looking out onto the beach. A lake is in the background, along with a tree line and cloudy sky horizon." title="Displacement."/>
            <wp:cNvGraphicFramePr>
              <a:graphicFrameLocks noChangeAspect="1"/>
            </wp:cNvGraphicFramePr>
            <a:graphic>
              <a:graphicData uri="http://schemas.openxmlformats.org/drawingml/2006/picture">
                <pic:pic>
                  <pic:nvPicPr>
                    <pic:cNvPr id="0" name=""/>
                    <pic:cNvPicPr/>
                  </pic:nvPicPr>
                  <pic:blipFill>
                    <a:blip r:embed="R984cd46f7b19414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C93EA70" w14:textId="0438C510" w14:noSpellErr="1">
      <w:pPr>
        <w:jc w:val="center"/>
      </w:pPr>
      <w:r>
        <w:br w:type="page"/>
      </w:r>
      <w:r w:rsidR="3AA06721">
        <w:drawing>
          <wp:inline wp14:editId="60EC7962" wp14:anchorId="1E1A6AC3">
            <wp:extent cx="4572000" cy="3048000"/>
            <wp:effectExtent l="0" t="0" r="0" b="0"/>
            <wp:docPr id="1875598682" name="" descr="Forced displacement occurs when people must unwillingly leave their homeland. In the 1920s, members of Mattagami First Nation had to abandon their homes on Mattagami Lake when the Northern Canada Power Company’s hydro development flooded the area. When residents sought compensation for the loss of their homes and traditional lands, the company offered a single payment of $3,500. In 1952 the federal government added new land to the reserve, and the displaced people of Mattagami First Nation built new homes.&#10;&#10;Henry Kechebra, an Elder of the Mattagami Reserve, at the site of the former Fort Mattagami trading post on Mattagami Lake, 1958 (I0000130)" title="Displacement."/>
            <wp:cNvGraphicFramePr>
              <a:graphicFrameLocks noChangeAspect="1"/>
            </wp:cNvGraphicFramePr>
            <a:graphic>
              <a:graphicData uri="http://schemas.openxmlformats.org/drawingml/2006/picture">
                <pic:pic>
                  <pic:nvPicPr>
                    <pic:cNvPr id="0" name=""/>
                    <pic:cNvPicPr/>
                  </pic:nvPicPr>
                  <pic:blipFill>
                    <a:blip r:embed="Rdaa820a900b847b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00D404AE" w14:textId="67E128FF" w14:noSpellErr="1">
      <w:pPr>
        <w:jc w:val="center"/>
      </w:pPr>
      <w:r>
        <w:br w:type="page"/>
      </w:r>
      <w:r w:rsidR="22FD3C36">
        <w:drawing>
          <wp:inline wp14:editId="3759A116" wp14:anchorId="75464D03">
            <wp:extent cx="4572000" cy="3048000"/>
            <wp:effectExtent l="0" t="0" r="0" b="0"/>
            <wp:docPr id="229184626" name="" descr="A black and white photo of Mark Sing, an Asian man standing behind a wooden shop counter. Sing is wearing a collarless button-up sweater and has his arms spread out behind the bare counter. At left in the background is a low, dark rung curtain. At centre are mostly empty shelves, although the shelves at right contain several paper-wrapped packages. At right are a calendar and ornate lamp." title="Entrepreneur."/>
            <wp:cNvGraphicFramePr>
              <a:graphicFrameLocks noChangeAspect="1"/>
            </wp:cNvGraphicFramePr>
            <a:graphic>
              <a:graphicData uri="http://schemas.openxmlformats.org/drawingml/2006/picture">
                <pic:pic>
                  <pic:nvPicPr>
                    <pic:cNvPr id="0" name=""/>
                    <pic:cNvPicPr/>
                  </pic:nvPicPr>
                  <pic:blipFill>
                    <a:blip r:embed="R0775ae799624498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32AD5A83" w14:textId="2449F945" w14:noSpellErr="1">
      <w:pPr>
        <w:jc w:val="center"/>
      </w:pPr>
      <w:r>
        <w:br w:type="page"/>
      </w:r>
      <w:r w:rsidR="095D0426">
        <w:drawing>
          <wp:inline wp14:editId="646A425E" wp14:anchorId="043ABC77">
            <wp:extent cx="4572000" cy="3048000"/>
            <wp:effectExtent l="0" t="0" r="0" b="0"/>
            <wp:docPr id="925562704" name="" descr="Entrepreneurs are people who organize, operate, and assume the risks of a business. By finding new markets and pursuing innovative, cost-effective ways of doing business, entrepreneurs have helped Ontario’s economy adapt and grow. The Archives of Ontario’s collections include records of large and small entrepreneurial businesses in Ontario, from the Eaton’s department store chain to Mark Sing’s laundromat in Cobourg. &#10;&#10;Mark Sing, Laundry, Cobourg, Ontario, March 1910 (I0007413)" title="Entrepreneur."/>
            <wp:cNvGraphicFramePr>
              <a:graphicFrameLocks noChangeAspect="1"/>
            </wp:cNvGraphicFramePr>
            <a:graphic>
              <a:graphicData uri="http://schemas.openxmlformats.org/drawingml/2006/picture">
                <pic:pic>
                  <pic:nvPicPr>
                    <pic:cNvPr id="0" name=""/>
                    <pic:cNvPicPr/>
                  </pic:nvPicPr>
                  <pic:blipFill>
                    <a:blip r:embed="Recf1c47c22df4eb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2145A59" w14:textId="199AEC69" w14:noSpellErr="1">
      <w:pPr>
        <w:jc w:val="center"/>
      </w:pPr>
      <w:r>
        <w:br w:type="page"/>
      </w:r>
      <w:r w:rsidR="6977C6E3">
        <w:drawing>
          <wp:inline wp14:editId="4D59B627" wp14:anchorId="5A63C578">
            <wp:extent cx="3048000" cy="4572000"/>
            <wp:effectExtent l="0" t="0" r="0" b="0"/>
            <wp:docPr id="394682359" name="" descr="A colour photo of a stack, a geological landform consisting of a steep, vertical column of rock near the coast, formed by wave erosion. The stack is at least three-stories high, narrow and craggy. The stack appears at centre, while the water of the bay is to its right. At left are three brown-haired Caucasians on a rocky outcrop who appear very small compared to the stack. One man wearing khaki stands photographing two posing women in profile. The woman at left kneels in a green skirt and white, sleeveless blouse. We cannot see her face. The other woman stands wearing green pants, a white sweater and a colourful handkerchief tied around her head. In the background is a cloudy blue sky." title="Erosion."/>
            <wp:cNvGraphicFramePr>
              <a:graphicFrameLocks noChangeAspect="1"/>
            </wp:cNvGraphicFramePr>
            <a:graphic>
              <a:graphicData uri="http://schemas.openxmlformats.org/drawingml/2006/picture">
                <pic:pic>
                  <pic:nvPicPr>
                    <pic:cNvPr id="0" name=""/>
                    <pic:cNvPicPr/>
                  </pic:nvPicPr>
                  <pic:blipFill>
                    <a:blip r:embed="Rf7e193ec90b8448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195D44A8" w14:textId="67DCADA3" w14:noSpellErr="1">
      <w:pPr>
        <w:jc w:val="center"/>
      </w:pPr>
      <w:r>
        <w:br w:type="page"/>
      </w:r>
      <w:r w:rsidR="10763E06">
        <w:drawing>
          <wp:inline wp14:editId="61671A12" wp14:anchorId="1A648FD1">
            <wp:extent cx="3048000" cy="4572000"/>
            <wp:effectExtent l="0" t="0" r="0" b="0"/>
            <wp:docPr id="434948890" name="" descr="Erosion is a process where rocks and soil are picked up and moved by natural forces, such as water, wind, ice, and gravity. The force of these elements along the shore of Georgian Bay formed the column of rock now known as Flowerpot Island, located on Treaty 72 land in the traditional territory of the Saugeen Ojibway Nations. The softer rock was removed more quickly, leaving the harder rock behind in a flowerpot shape. &#10;&#10;Flowerpot Island, Georgian Bay, Ontario, 1953 (I0005559)" title="Erosion."/>
            <wp:cNvGraphicFramePr>
              <a:graphicFrameLocks noChangeAspect="1"/>
            </wp:cNvGraphicFramePr>
            <a:graphic>
              <a:graphicData uri="http://schemas.openxmlformats.org/drawingml/2006/picture">
                <pic:pic>
                  <pic:nvPicPr>
                    <pic:cNvPr id="0" name=""/>
                    <pic:cNvPicPr/>
                  </pic:nvPicPr>
                  <pic:blipFill>
                    <a:blip r:embed="Rf34667aeca7043d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3D63D390" w14:textId="5F4539DB" w14:noSpellErr="1">
      <w:pPr>
        <w:jc w:val="center"/>
      </w:pPr>
      <w:r>
        <w:br w:type="page"/>
      </w:r>
      <w:r w:rsidR="1FDB1466">
        <w:drawing>
          <wp:inline wp14:editId="0B61D6F7" wp14:anchorId="77646BEB">
            <wp:extent cx="4572000" cy="3048000"/>
            <wp:effectExtent l="0" t="0" r="0" b="0"/>
            <wp:docPr id="580583833" name="" descr="A black and white photo of a flooded town. The floodwaters reach above the doorways of a restaurant, pictured at right. The restaurant has two “Terminal Grill” signs, and a sign that says, “Drink Coca-Cola Refresh” among others. At left, a town block of buildings can be seen partially submerged as the floodwaters fill the street. In the foreground, at left, is a partially submerged taxi business building, while at right are five Caucasian youth standing on a hill observing the scene. Four are looking forward with their backs to the camera, while a fifth, at centre, faces to the right." title="Flood."/>
            <wp:cNvGraphicFramePr>
              <a:graphicFrameLocks noChangeAspect="1"/>
            </wp:cNvGraphicFramePr>
            <a:graphic>
              <a:graphicData uri="http://schemas.openxmlformats.org/drawingml/2006/picture">
                <pic:pic>
                  <pic:nvPicPr>
                    <pic:cNvPr id="0" name=""/>
                    <pic:cNvPicPr/>
                  </pic:nvPicPr>
                  <pic:blipFill>
                    <a:blip r:embed="R0e994d686b5a463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0348D69B" w14:textId="7B59CC1C" w14:noSpellErr="1">
      <w:pPr>
        <w:jc w:val="center"/>
      </w:pPr>
      <w:r>
        <w:br w:type="page"/>
      </w:r>
      <w:r w:rsidR="357614B4">
        <w:drawing>
          <wp:inline wp14:editId="6EEF6A46" wp14:anchorId="1AB35B3B">
            <wp:extent cx="4572000" cy="3048000"/>
            <wp:effectExtent l="0" t="0" r="0" b="0"/>
            <wp:docPr id="246645956" name="" descr="A flood occurs when water temporarily overflows onto land that is usually dry. Brampton is built near Etobicoke Creek, which often overflows when snow melts in the spring, causing the city’s many floods in the 1800s and 1900s. One of Brampton’s worst floods occurred on March 17, 1948, filling the downtown with up to six feet of water. A project to redirect Etobicoke Creek, completed in November of 1951, helped to prevent such disastrous floods. &#10;&#10;Flood scene, Brampton, 1948 (I0002788)" title="Flood."/>
            <wp:cNvGraphicFramePr>
              <a:graphicFrameLocks noChangeAspect="1"/>
            </wp:cNvGraphicFramePr>
            <a:graphic>
              <a:graphicData uri="http://schemas.openxmlformats.org/drawingml/2006/picture">
                <pic:pic>
                  <pic:nvPicPr>
                    <pic:cNvPr id="0" name=""/>
                    <pic:cNvPicPr/>
                  </pic:nvPicPr>
                  <pic:blipFill>
                    <a:blip r:embed="R03c9d911c8ce4cf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099A5816" w14:textId="28031C91" w14:noSpellErr="1">
      <w:pPr>
        <w:jc w:val="center"/>
      </w:pPr>
      <w:r>
        <w:br w:type="page"/>
      </w:r>
      <w:r w:rsidR="093A288F">
        <w:drawing>
          <wp:inline wp14:editId="32D2D2EB" wp14:anchorId="788DBA37">
            <wp:extent cx="4572000" cy="3048000"/>
            <wp:effectExtent l="0" t="0" r="0" b="0"/>
            <wp:docPr id="570169273" name="" descr="A colour photo of 28 Black, white, and mixed race men, women, and children, posing in 1960s-era formal dress. Various relatives of all ages appear in the photo. They are on a green lawn in front of a high wall of shrubbery." title="Generation."/>
            <wp:cNvGraphicFramePr>
              <a:graphicFrameLocks noChangeAspect="1"/>
            </wp:cNvGraphicFramePr>
            <a:graphic>
              <a:graphicData uri="http://schemas.openxmlformats.org/drawingml/2006/picture">
                <pic:pic>
                  <pic:nvPicPr>
                    <pic:cNvPr id="0" name=""/>
                    <pic:cNvPicPr/>
                  </pic:nvPicPr>
                  <pic:blipFill>
                    <a:blip r:embed="Rd877baaef2624d2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42B3EEFA" w14:textId="63F4867F" w14:noSpellErr="1">
      <w:pPr>
        <w:jc w:val="center"/>
      </w:pPr>
      <w:r>
        <w:br w:type="page"/>
      </w:r>
      <w:r w:rsidR="7977AE7B">
        <w:drawing>
          <wp:inline wp14:editId="48A089C6" wp14:anchorId="55D6203E">
            <wp:extent cx="4572000" cy="3048000"/>
            <wp:effectExtent l="0" t="0" r="0" b="0"/>
            <wp:docPr id="1715631133" name="" descr="Successive descendants in a family make up generations. This photo shows three generations of the Hill family. Daniel Hill II and May Edwards Hill are the elderly seated couple. Their son, Daniel G. Hill (back row, middle) was the first director of the Ontario Human Rights Commission. His children, Dan (back row, sixth from left), Lawrence (seated, third from right), and Karen (seated on far left) became notable figures in the arts.&#10;&#10;Daniel G. Hill Jr. and May Edwards Hill 50th wedding anniversary, 1967 (I0027967)" title="Generation."/>
            <wp:cNvGraphicFramePr>
              <a:graphicFrameLocks noChangeAspect="1"/>
            </wp:cNvGraphicFramePr>
            <a:graphic>
              <a:graphicData uri="http://schemas.openxmlformats.org/drawingml/2006/picture">
                <pic:pic>
                  <pic:nvPicPr>
                    <pic:cNvPr id="0" name=""/>
                    <pic:cNvPicPr/>
                  </pic:nvPicPr>
                  <pic:blipFill>
                    <a:blip r:embed="R56cd9ef65b20428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ED47245" w14:textId="35F458BD" w14:noSpellErr="1">
      <w:pPr>
        <w:jc w:val="center"/>
      </w:pPr>
      <w:r>
        <w:br w:type="page"/>
      </w:r>
      <w:r w:rsidR="28112414">
        <w:drawing>
          <wp:inline wp14:editId="4B3FF532" wp14:anchorId="241B3340">
            <wp:extent cx="4572000" cy="3048000"/>
            <wp:effectExtent l="0" t="0" r="0" b="0"/>
            <wp:docPr id="1653038551" name="" descr="A black and white photo of the construction of a hydroelectric power generating station. A central concrete building sits at the bottom of a cliff with a large shaft coming out of it embedded in the cliff towards the top. The building is on top of a platform at the edge of a waterway. At left and right, smaller wooden buildings dot the shoreline. Two industrial tugboats sit in the water. On the opposite shore are several more vehicles. The cliff is rocky, with trees on top and covering the right side. The shorelines are sandy. A clear sky hangs above the cliff in the background." title="Hydroelectricity."/>
            <wp:cNvGraphicFramePr>
              <a:graphicFrameLocks noChangeAspect="1"/>
            </wp:cNvGraphicFramePr>
            <a:graphic>
              <a:graphicData uri="http://schemas.openxmlformats.org/drawingml/2006/picture">
                <pic:pic>
                  <pic:nvPicPr>
                    <pic:cNvPr id="0" name=""/>
                    <pic:cNvPicPr/>
                  </pic:nvPicPr>
                  <pic:blipFill>
                    <a:blip r:embed="Re57d053a17ba401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40585B88" w14:textId="22FA0023" w14:noSpellErr="1">
      <w:pPr>
        <w:jc w:val="center"/>
      </w:pPr>
      <w:r>
        <w:br w:type="page"/>
      </w:r>
      <w:r w:rsidR="5815B322">
        <w:drawing>
          <wp:inline wp14:editId="6A3BA2F5" wp14:anchorId="41560BF3">
            <wp:extent cx="4572000" cy="3048000"/>
            <wp:effectExtent l="0" t="0" r="0" b="0"/>
            <wp:docPr id="88350022" name="" descr="Hydroelectric power (water power) is a renewable resource making energy use in Ontario easier and safer. DeCew Falls, near Thorold on Treaty 3 land—the traditional territories of the Haudenosaunee and Anishinaabe peoples—was one of the province’s first generating stations, developed in 1898 by the Cataract Power Company. Designed to generate and send electrical energy at higher voltages and greater distances than ever before, it initially powered the electric street railway in nearby Hamilton.&#10;&#10;Construction at DeCew Falls, ca. 1950 (I0019967)" title="Hydroelectricity."/>
            <wp:cNvGraphicFramePr>
              <a:graphicFrameLocks noChangeAspect="1"/>
            </wp:cNvGraphicFramePr>
            <a:graphic>
              <a:graphicData uri="http://schemas.openxmlformats.org/drawingml/2006/picture">
                <pic:pic>
                  <pic:nvPicPr>
                    <pic:cNvPr id="0" name=""/>
                    <pic:cNvPicPr/>
                  </pic:nvPicPr>
                  <pic:blipFill>
                    <a:blip r:embed="R95c775e5078540e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1907904" w14:textId="412E1ABE" w14:noSpellErr="1">
      <w:pPr>
        <w:jc w:val="center"/>
      </w:pPr>
      <w:r>
        <w:br w:type="page"/>
      </w:r>
      <w:r w:rsidR="7D2290BC">
        <w:drawing>
          <wp:inline wp14:editId="4355EBD9" wp14:anchorId="6A042E51">
            <wp:extent cx="4572000" cy="3048000"/>
            <wp:effectExtent l="0" t="0" r="0" b="0"/>
            <wp:docPr id="1191070149" name="" descr="A black and white photo of a Caucasian family of eight on the deck of an ocean liner boat. Dressed casually seated left to right are a boy; a woman with a boy on her lap and a teacup on his lap; a woman wearing glasses, a coat and scarf holding a teacup with a boy on her lap; an older girl; and a younger girl in a coat. A man stands behind them. Dozens of other travelers can be seen sitting and standing on the deck. In the background, at left, is a room on the ship, with stairs leading to another deck. At right is a sliver of sea and sky." title="Immigration."/>
            <wp:cNvGraphicFramePr>
              <a:graphicFrameLocks noChangeAspect="1"/>
            </wp:cNvGraphicFramePr>
            <a:graphic>
              <a:graphicData uri="http://schemas.openxmlformats.org/drawingml/2006/picture">
                <pic:pic>
                  <pic:nvPicPr>
                    <pic:cNvPr id="0" name=""/>
                    <pic:cNvPicPr/>
                  </pic:nvPicPr>
                  <pic:blipFill>
                    <a:blip r:embed="R66d6464e12864b9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3EE1DBA" w14:textId="435F70A1" w14:noSpellErr="1">
      <w:pPr>
        <w:jc w:val="center"/>
      </w:pPr>
      <w:r>
        <w:br w:type="page"/>
      </w:r>
      <w:r w:rsidR="382CC1DD">
        <w:drawing>
          <wp:inline wp14:editId="1AB055A2" wp14:anchorId="4CBD0141">
            <wp:extent cx="4572000" cy="3048000"/>
            <wp:effectExtent l="0" t="0" r="0" b="0"/>
            <wp:docPr id="526554437" name="" descr="Immigration—the movement of people to a destination country of which they are not natives or citizens in order to settle—has helped shape Ontario. After World War II ended in 1945, numerous immigrants came from Europe. Many filled manufacturing and construction jobs, fuelling Ontario’s urban and industrial growth. This wave of immigrants also encouraged governments to make laws against discrimination based on race, religion and origin in areas such as employment, housing, and education.&#10;&#10;A Dutch family on the S.S. Nieuw-Amsterdam en route to Canada, 1951 (I0004979)" title="Immigration."/>
            <wp:cNvGraphicFramePr>
              <a:graphicFrameLocks noChangeAspect="1"/>
            </wp:cNvGraphicFramePr>
            <a:graphic>
              <a:graphicData uri="http://schemas.openxmlformats.org/drawingml/2006/picture">
                <pic:pic>
                  <pic:nvPicPr>
                    <pic:cNvPr id="0" name=""/>
                    <pic:cNvPicPr/>
                  </pic:nvPicPr>
                  <pic:blipFill>
                    <a:blip r:embed="R548409c698dd4ac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375F08DF" w14:textId="0EDD8916" w14:noSpellErr="1">
      <w:pPr>
        <w:jc w:val="center"/>
      </w:pPr>
      <w:r>
        <w:br w:type="page"/>
      </w:r>
      <w:r w:rsidR="3AEE7918">
        <w:drawing>
          <wp:inline wp14:editId="4C2B6705" wp14:anchorId="7B7D5544">
            <wp:extent cx="3048000" cy="4572000"/>
            <wp:effectExtent l="0" t="0" r="0" b="0"/>
            <wp:docPr id="1402732765" name="" descr="A colour photo of a Caucasian man in a pumpkin patch. The man, at left, is balding with grey hair and glasses wearing a blue coat with red stripes inside the hood, over a blue shirt and pants. The pumpkin, at centre, is huge and orange. The man is surrounded by the large leaves and flowers of the patch." title="Irrigation."/>
            <wp:cNvGraphicFramePr>
              <a:graphicFrameLocks noChangeAspect="1"/>
            </wp:cNvGraphicFramePr>
            <a:graphic>
              <a:graphicData uri="http://schemas.openxmlformats.org/drawingml/2006/picture">
                <pic:pic>
                  <pic:nvPicPr>
                    <pic:cNvPr id="0" name=""/>
                    <pic:cNvPicPr/>
                  </pic:nvPicPr>
                  <pic:blipFill>
                    <a:blip r:embed="R06a4654a7b61492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64812814" w14:textId="1010CF7B" w14:noSpellErr="1">
      <w:pPr>
        <w:jc w:val="center"/>
      </w:pPr>
      <w:r>
        <w:br w:type="page"/>
      </w:r>
      <w:r w:rsidR="4096D74E">
        <w:drawing>
          <wp:inline wp14:editId="5DD00E8A" wp14:anchorId="18CD6261">
            <wp:extent cx="3048000" cy="4572000"/>
            <wp:effectExtent l="0" t="0" r="0" b="0"/>
            <wp:docPr id="830691832" name="" descr="Irrigation is the process of watering crops by bringing in water using human-made methods or systems—including pipes, canals, and sprinklers—rather than relying on rainfall alone. Irrigation allows crops to be grown in areas that do not get much rain and helps farmers provide a steady food supply. Without irrigation to provide enough water to the soil, the farmer in this photo would not have been able to grow his giant pumpkin!&#10;&#10;Man pictured with a giant pumpkin, 1984 (I0004615)" title="Irrigation."/>
            <wp:cNvGraphicFramePr>
              <a:graphicFrameLocks noChangeAspect="1"/>
            </wp:cNvGraphicFramePr>
            <a:graphic>
              <a:graphicData uri="http://schemas.openxmlformats.org/drawingml/2006/picture">
                <pic:pic>
                  <pic:nvPicPr>
                    <pic:cNvPr id="0" name=""/>
                    <pic:cNvPicPr/>
                  </pic:nvPicPr>
                  <pic:blipFill>
                    <a:blip r:embed="R9f625372e5304bf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285A8486" w14:textId="0C10A70D" w14:noSpellErr="1">
      <w:pPr>
        <w:jc w:val="center"/>
      </w:pPr>
      <w:r>
        <w:br w:type="page"/>
      </w:r>
      <w:r w:rsidR="08480E25">
        <w:drawing>
          <wp:inline wp14:editId="34C8BF3F" wp14:anchorId="1AFCF367">
            <wp:extent cx="4572000" cy="3048000"/>
            <wp:effectExtent l="0" t="0" r="0" b="0"/>
            <wp:docPr id="615801294" name="" descr="A black and white photo of a Black man, Fred H. A. Davis, and a Black woman, Anne Alexander, seated at a large desk in an office. The desk is at right, covered in papers along with a newspaper and clock. Hill has a mustache and is wearing a flat cap, suit and tie. He is reviewing a document. Alexander is working at a typewriter, wearing a suit and necklace. A lightbulb hangs down from exposed wires over the desk. The office walls are decorated with elaborate checkerboard wallpaper. In the background is a counter covered in books and papers with a couple of small document shelves on it. At left is a door with a calendar, pennant and poster affixed to it. At far left is a column. The ceiling can be seen at the top of the photo." title="Judicial."/>
            <wp:cNvGraphicFramePr>
              <a:graphicFrameLocks noChangeAspect="1"/>
            </wp:cNvGraphicFramePr>
            <a:graphic>
              <a:graphicData uri="http://schemas.openxmlformats.org/drawingml/2006/picture">
                <pic:pic>
                  <pic:nvPicPr>
                    <pic:cNvPr id="0" name=""/>
                    <pic:cNvPicPr/>
                  </pic:nvPicPr>
                  <pic:blipFill>
                    <a:blip r:embed="R420008de5f7244a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66D800AD" w14:textId="275CC45D">
      <w:pPr>
        <w:jc w:val="center"/>
      </w:pPr>
      <w:r>
        <w:br w:type="page"/>
      </w:r>
      <w:r w:rsidR="5983813D">
        <w:drawing>
          <wp:inline wp14:editId="523C17A5" wp14:anchorId="0E608330">
            <wp:extent cx="4572000" cy="3048000"/>
            <wp:effectExtent l="0" t="0" r="0" b="0"/>
            <wp:docPr id="974977690" name="" descr="The judicial branch of government interprets the law and oversees justice through the courts. The legal system in Ontario was developed in the late 1700s, modelled on the system in England. It has since seen many changes. Delos Rogest Davis was one of the first Black lawyers in Ontario. His son, Fred H.A. Davis (shown in this photograph), practiced law in Amherstburg, Ontario in the early 1900s. Together, their work expanded professional opportunities for Black Ontarians.&#10;&#10;Mr. Fred H.A. Davis and Miss Anne Alexander, in his law office on Ramsay Street, Amherstburg, Ontario, 1914 (I0014679)" title="Judicial."/>
            <wp:cNvGraphicFramePr>
              <a:graphicFrameLocks noChangeAspect="1"/>
            </wp:cNvGraphicFramePr>
            <a:graphic>
              <a:graphicData uri="http://schemas.openxmlformats.org/drawingml/2006/picture">
                <pic:pic>
                  <pic:nvPicPr>
                    <pic:cNvPr id="0" name=""/>
                    <pic:cNvPicPr/>
                  </pic:nvPicPr>
                  <pic:blipFill>
                    <a:blip r:embed="R708c92bf42284bfd">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2242D9C9" w14:textId="2D8794A7" w14:noSpellErr="1">
      <w:pPr>
        <w:jc w:val="center"/>
      </w:pPr>
      <w:r>
        <w:br w:type="page"/>
      </w:r>
      <w:r w:rsidR="26E60687">
        <w:drawing>
          <wp:inline wp14:editId="0A483802" wp14:anchorId="30B67085">
            <wp:extent cx="3048000" cy="4572000"/>
            <wp:effectExtent l="0" t="0" r="0" b="0"/>
            <wp:docPr id="1079479548" name="" descr="A colour photo of an Oji-Cree man, William Moore, working on a birchbark basket. Moore has balding salt and pepper hair and is wearing a white collared shirt with a weathered apron over top. He is looking down at his work, holding the basket in one hand while using a carving tool on the basket with the other. He is sitting on wooden stairs before a doorway with another carving tool on his knee. In the background is an open door and the white painted wooden slats of a building." title="Knowledge Keeper."/>
            <wp:cNvGraphicFramePr>
              <a:graphicFrameLocks noChangeAspect="1"/>
            </wp:cNvGraphicFramePr>
            <a:graphic>
              <a:graphicData uri="http://schemas.openxmlformats.org/drawingml/2006/picture">
                <pic:pic>
                  <pic:nvPicPr>
                    <pic:cNvPr id="0" name=""/>
                    <pic:cNvPicPr/>
                  </pic:nvPicPr>
                  <pic:blipFill>
                    <a:blip r:embed="R3b65a1fd65714eb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3994EC3C" w14:textId="7F4DC95E">
      <w:pPr>
        <w:jc w:val="center"/>
      </w:pPr>
      <w:r>
        <w:br w:type="page"/>
      </w:r>
      <w:r w:rsidR="46E93287">
        <w:rPr/>
        <w:t xml:space="preserve"> </w:t>
      </w:r>
      <w:r w:rsidR="46E93287">
        <w:drawing>
          <wp:inline wp14:editId="053992F5" wp14:anchorId="76E2A926">
            <wp:extent cx="3048000" cy="4572000"/>
            <wp:effectExtent l="0" t="0" r="0" b="0"/>
            <wp:docPr id="1242342943" name="" descr="Knowledge Keepers play an important role in preserving traditional Indigenous craftsmanship, activities, languages, ceremonies, and beliefs. Their knowledge is often acquired and passed on through lived experiences, storytelling, and practices. Birchbark baskets, like the one made by William Moore of Mattagami Reserve, are important cultural objects to the Ojibway in Ontario; they are made in many sizes and used for cooking, gathering berries, hauling water, storing food, and even burying the dead.&#10;&#10;William Moore, an Ojibway craftsman of Mattagami Reserve near Gogama, Ontario, working on a birchbark basket, 1957 (I0012656)" title="Knowledge Keeper."/>
            <wp:cNvGraphicFramePr>
              <a:graphicFrameLocks noChangeAspect="1"/>
            </wp:cNvGraphicFramePr>
            <a:graphic>
              <a:graphicData uri="http://schemas.openxmlformats.org/drawingml/2006/picture">
                <pic:pic>
                  <pic:nvPicPr>
                    <pic:cNvPr id="0" name=""/>
                    <pic:cNvPicPr/>
                  </pic:nvPicPr>
                  <pic:blipFill>
                    <a:blip r:embed="R91c3d61a5d104053">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F275ACF" w:rsidP="6F275ACF" w:rsidRDefault="6F275ACF" w14:paraId="0B46210D" w14:textId="195EC8FB" w14:noSpellErr="1">
      <w:pPr>
        <w:jc w:val="center"/>
      </w:pPr>
      <w:r>
        <w:br w:type="page"/>
      </w:r>
      <w:r w:rsidR="11756DEE">
        <w:drawing>
          <wp:inline wp14:editId="2766A054" wp14:anchorId="0616C49B">
            <wp:extent cx="3048000" cy="4572000"/>
            <wp:effectExtent l="0" t="0" r="0" b="0"/>
            <wp:docPr id="1225679793" name="" descr="A colour scan of a printed certificate. The certificate features a mix of preprinted, handwritten and stamped elements. A hand drawn illustration and text are printed, along with lettering filled into blank spaces on the certificate. It reads: “No 7140. Province of Ontario. Location Certificate. Under 1 Edward VII., Cap 6. This is to Certify that Charles Green Bonnycastle having served as a Private in the Campbellford Infantry in Ontario 1866 on the occasion of the Fenian Raid is hereby authorized to enter upon and occupy the South half of lot Number Eleven in the Third concession of the Township of Murphy containing 161 acres, located on the twenty ninth day of May AD 1905 under and subject to the provisions of the Act. Given under my hand at Toronto, this Thirteenth day of September A.D. 1905. F. Cochrane Commision of Crown Lands. Minister of Lands &amp; Mines.” The illustration features Caucasian soldiers in full uniform: a ranger, and two soldiers in different dress. Behind them are drawings of various other soldiers in further different uniforms, some on horseback, some with large guns and a woman nurse with a medical wagon. At the top of the certificate is the Coat of Arms of Ontario. The border is made up of illustrations of maple leaves." title="Land Grant."/>
            <wp:cNvGraphicFramePr>
              <a:graphicFrameLocks noChangeAspect="1"/>
            </wp:cNvGraphicFramePr>
            <a:graphic>
              <a:graphicData uri="http://schemas.openxmlformats.org/drawingml/2006/picture">
                <pic:pic>
                  <pic:nvPicPr>
                    <pic:cNvPr id="0" name=""/>
                    <pic:cNvPicPr/>
                  </pic:nvPicPr>
                  <pic:blipFill>
                    <a:blip r:embed="R2472d3f5d65b49c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2F2F0944" w14:textId="7EA667BF" w14:noSpellErr="1">
      <w:pPr>
        <w:jc w:val="center"/>
      </w:pPr>
      <w:r>
        <w:br w:type="page"/>
      </w:r>
      <w:r w:rsidR="3D8E17B3">
        <w:drawing>
          <wp:inline wp14:editId="54A39978" wp14:anchorId="165CBD6F">
            <wp:extent cx="3048000" cy="4572000"/>
            <wp:effectExtent l="0" t="0" r="0" b="0"/>
            <wp:docPr id="1562960568" name="" descr="A land grant is a gift of real estate (land or its use privileges) made by a government or other authority. Often, land grants were awarded for military service. Between 1866 and 1871, many Canadians battled the Fenians—Irish nationalists in the United States, who launched raids against Canada to pressure the British government’s withdrawal from Ireland. Ontarians who served in the Fenian Raids were eligible for around 160 acres of land from the Crown.&#10;&#10;Location Certificate for grant of land to Charles Bonnycastle, Fenian Raids, September 13, 1905 (I0055338)" title="Land Grant."/>
            <wp:cNvGraphicFramePr>
              <a:graphicFrameLocks noChangeAspect="1"/>
            </wp:cNvGraphicFramePr>
            <a:graphic>
              <a:graphicData uri="http://schemas.openxmlformats.org/drawingml/2006/picture">
                <pic:pic>
                  <pic:nvPicPr>
                    <pic:cNvPr id="0" name=""/>
                    <pic:cNvPicPr/>
                  </pic:nvPicPr>
                  <pic:blipFill>
                    <a:blip r:embed="R57cac16cbb22487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14D918A5" w14:textId="01ACC641" w14:noSpellErr="1">
      <w:pPr>
        <w:jc w:val="center"/>
      </w:pPr>
      <w:r>
        <w:br w:type="page"/>
      </w:r>
      <w:r w:rsidR="0ACF736B">
        <w:drawing>
          <wp:inline wp14:editId="124242B1" wp14:anchorId="1B473EE4">
            <wp:extent cx="4572000" cy="3048000"/>
            <wp:effectExtent l="0" t="0" r="0" b="0"/>
            <wp:docPr id="431541676" name="" descr="A colour photo of a red earth, open-pit mine. The deep, multistory quarry has level layers from top to bottom for vehicles to drive in and out. Five dump trucks appear at the bottom in a muddy recess. Several other vehicles and machines are removing earth from the pit. Along the sides of the quarry are some collections or broken-up stone rock. Red water puddles dot the various layers." title="Mining."/>
            <wp:cNvGraphicFramePr>
              <a:graphicFrameLocks noChangeAspect="1"/>
            </wp:cNvGraphicFramePr>
            <a:graphic>
              <a:graphicData uri="http://schemas.openxmlformats.org/drawingml/2006/picture">
                <pic:pic>
                  <pic:nvPicPr>
                    <pic:cNvPr id="0" name=""/>
                    <pic:cNvPicPr/>
                  </pic:nvPicPr>
                  <pic:blipFill>
                    <a:blip r:embed="R78870d134dc947f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1142856E" w14:textId="144ABE67" w14:noSpellErr="1">
      <w:pPr>
        <w:jc w:val="center"/>
      </w:pPr>
      <w:r>
        <w:br w:type="page"/>
      </w:r>
      <w:r w:rsidR="7F4A192B">
        <w:drawing>
          <wp:inline wp14:editId="52EE8154" wp14:anchorId="2FB58AC5">
            <wp:extent cx="4572000" cy="3048000"/>
            <wp:effectExtent l="0" t="0" r="0" b="0"/>
            <wp:docPr id="625920811" name="" descr="Mining involves getting valuable or useful minerals from the ground. From 1944 to 1979, Steep Rock Mine near Atikokan, on Treaty 3 land—the traditional territory of the Saulteaux (Ojibway)—provided iron for everything from World War II aircraft to toasters and nails. Building the mine required removing more sediment from Steep Rock Lake than the amount of material moved to create the original Panama Canal, and its activities have devastated the region’s natural environment.&#10;&#10;Steep Rock Mine, Atikokan, Ontario, 1953 (I0005562)" title="Mining."/>
            <wp:cNvGraphicFramePr>
              <a:graphicFrameLocks noChangeAspect="1"/>
            </wp:cNvGraphicFramePr>
            <a:graphic>
              <a:graphicData uri="http://schemas.openxmlformats.org/drawingml/2006/picture">
                <pic:pic>
                  <pic:nvPicPr>
                    <pic:cNvPr id="0" name=""/>
                    <pic:cNvPicPr/>
                  </pic:nvPicPr>
                  <pic:blipFill>
                    <a:blip r:embed="R163521c1a29a4a9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E21FC01" w14:textId="52543FB4" w14:noSpellErr="1">
      <w:pPr>
        <w:jc w:val="center"/>
      </w:pPr>
      <w:r>
        <w:br w:type="page"/>
      </w:r>
      <w:r w:rsidR="57A0251E">
        <w:drawing>
          <wp:inline wp14:editId="03386C54" wp14:anchorId="22BBE4EB">
            <wp:extent cx="4572000" cy="3048000"/>
            <wp:effectExtent l="0" t="0" r="0" b="0"/>
            <wp:docPr id="1701994059" name="" descr="A black and white photo of a Caucasian man posed in front of four large coal furnaces. The man has dark hair and is wearing coveralls. One hand is on his waist while his other holds a hose connected to the second furnace from the left. The furnaces are topped with a gauge, have large double doors with two doors below and yet another two doors below that. Some of the very bottom doors are open, including the right most furnace, which has a shovel in front of it. Large piles of coal sit on the floor. White brick walls can be seen on either side of the furnaces while riveted metal lines their tops." title="Non-renewable."/>
            <wp:cNvGraphicFramePr>
              <a:graphicFrameLocks noChangeAspect="1"/>
            </wp:cNvGraphicFramePr>
            <a:graphic>
              <a:graphicData uri="http://schemas.openxmlformats.org/drawingml/2006/picture">
                <pic:pic>
                  <pic:nvPicPr>
                    <pic:cNvPr id="0" name=""/>
                    <pic:cNvPicPr/>
                  </pic:nvPicPr>
                  <pic:blipFill>
                    <a:blip r:embed="Rf389ea4ec5984a5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1A514F8A" w14:textId="14E669E5" w14:noSpellErr="1">
      <w:pPr>
        <w:jc w:val="center"/>
      </w:pPr>
      <w:r>
        <w:br w:type="page"/>
      </w:r>
      <w:r w:rsidR="34E269F1">
        <w:drawing>
          <wp:inline wp14:editId="3B1783E6" wp14:anchorId="0DEB17C3">
            <wp:extent cx="4572000" cy="3048000"/>
            <wp:effectExtent l="0" t="0" r="0" b="0"/>
            <wp:docPr id="846136971" name="" descr="Non-renewable resources are limited in quantity and cannot be replaced once they are used up. Fossil fuels, such as coal, oil, and natural gas, are common examples. When burned, fossil fuels provide energy, but the process releases greenhouse gases that pollute the environment and contribute to climate change. To reduce greenhouse gas emissions, Ontario closed its last coal-fired power plant in 2014 and permanently banned coal-fired electricity generation in 2015.&#10;&#10;Worker attending to coal furnaces, [between 1900 and 1920] (I0009310)" title="Non-renewable."/>
            <wp:cNvGraphicFramePr>
              <a:graphicFrameLocks noChangeAspect="1"/>
            </wp:cNvGraphicFramePr>
            <a:graphic>
              <a:graphicData uri="http://schemas.openxmlformats.org/drawingml/2006/picture">
                <pic:pic>
                  <pic:nvPicPr>
                    <pic:cNvPr id="0" name=""/>
                    <pic:cNvPicPr/>
                  </pic:nvPicPr>
                  <pic:blipFill>
                    <a:blip r:embed="R6f306f718058432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22A81A5B" w14:textId="48A93FF5" w14:noSpellErr="1">
      <w:pPr>
        <w:jc w:val="center"/>
      </w:pPr>
      <w:r>
        <w:br w:type="page"/>
      </w:r>
      <w:r w:rsidR="66C62840">
        <w:drawing>
          <wp:inline wp14:editId="7078BDC0" wp14:anchorId="02C084D0">
            <wp:extent cx="4572000" cy="3048000"/>
            <wp:effectExtent l="0" t="0" r="0" b="0"/>
            <wp:docPr id="2139385565" name="" descr="A black and white photo of at least twenty Indigenous men and boys in a yard. All are seated except for Chief Missabay who stands holding a long stick at right. He is wearing a brimmed hat, white striped collared shirt with a weaved belt and dark pants under a long jacket. He is mustached and his eyes are closed. The others are wearing a mix of collared shirts and vests. The youth are seated at back along a wooden picket fence. Most of the assembled are on grass but some are on a blanket including two men who are smoking from their respective pipes. Various plates and bowls are also on the blanket. Further picket fencing, a small house and a tall wooden post fence with a door in it appear behind them, with sky and trees visible further in the background." title="Oral History."/>
            <wp:cNvGraphicFramePr>
              <a:graphicFrameLocks noChangeAspect="1"/>
            </wp:cNvGraphicFramePr>
            <a:graphic>
              <a:graphicData uri="http://schemas.openxmlformats.org/drawingml/2006/picture">
                <pic:pic>
                  <pic:nvPicPr>
                    <pic:cNvPr id="0" name=""/>
                    <pic:cNvPicPr/>
                  </pic:nvPicPr>
                  <pic:blipFill>
                    <a:blip r:embed="R74adf4f91ce34a2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03C2FAC" w14:textId="2C6FD638" w14:noSpellErr="1">
      <w:pPr>
        <w:jc w:val="center"/>
      </w:pPr>
      <w:r>
        <w:br w:type="page"/>
      </w:r>
      <w:r w:rsidR="633DEDCE">
        <w:drawing>
          <wp:inline wp14:editId="418E124F" wp14:anchorId="68416A67">
            <wp:extent cx="4572000" cy="3048000"/>
            <wp:effectExtent l="0" t="0" r="0" b="0"/>
            <wp:docPr id="344333332" name="" descr="Oral history consists of spoken memories, stories, and songs used to share information about the past. Oral histories can provide new perspectives and alternative explanations, convey feelings and emotions, and help preserve local dialects and accents. They can also give a voice to those not included in written histories. Spoken stories are often an important way beliefs and practices are shared in Indigenous communities throughout Ontario.&#10;&#10;Blind Chief Missabay addressing the assembly before the feast held after the James Bay Treaty signing ceremony, Osnaburgh House, July 12, 1905 (I0010717)" title="Oral History."/>
            <wp:cNvGraphicFramePr>
              <a:graphicFrameLocks noChangeAspect="1"/>
            </wp:cNvGraphicFramePr>
            <a:graphic>
              <a:graphicData uri="http://schemas.openxmlformats.org/drawingml/2006/picture">
                <pic:pic>
                  <pic:nvPicPr>
                    <pic:cNvPr id="0" name=""/>
                    <pic:cNvPicPr/>
                  </pic:nvPicPr>
                  <pic:blipFill>
                    <a:blip r:embed="Re73f32060b6249d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4D162CB" w14:textId="50A23F27" w14:noSpellErr="1">
      <w:pPr>
        <w:jc w:val="center"/>
      </w:pPr>
      <w:r>
        <w:br w:type="page"/>
      </w:r>
      <w:r w:rsidR="392676AA">
        <w:drawing>
          <wp:inline wp14:editId="5AA8393E" wp14:anchorId="45ED73EC">
            <wp:extent cx="4572000" cy="3048000"/>
            <wp:effectExtent l="0" t="0" r="0" b="0"/>
            <wp:docPr id="1911959482" name="" descr="A colour photo of a rock painting. At left, a rust-coloured silhouette of a person riding a horse is painted on a large rock. Below, two sets of two rust-red circles are also painted on the rock. Beneath the circles are two curved, parallel red lines. Fainter red markings are to the right of the horseman image." title="Pictograph."/>
            <wp:cNvGraphicFramePr>
              <a:graphicFrameLocks noChangeAspect="1"/>
            </wp:cNvGraphicFramePr>
            <a:graphic>
              <a:graphicData uri="http://schemas.openxmlformats.org/drawingml/2006/picture">
                <pic:pic>
                  <pic:nvPicPr>
                    <pic:cNvPr id="0" name=""/>
                    <pic:cNvPicPr/>
                  </pic:nvPicPr>
                  <pic:blipFill>
                    <a:blip r:embed="Rb4b3404c018c463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34194C6" w14:textId="30258466">
      <w:pPr>
        <w:jc w:val="center"/>
      </w:pPr>
      <w:r>
        <w:br w:type="page"/>
      </w:r>
      <w:r w:rsidR="6F136186">
        <w:drawing>
          <wp:inline wp14:editId="3BB64315" wp14:anchorId="739FBF7D">
            <wp:extent cx="4572000" cy="3048000"/>
            <wp:effectExtent l="0" t="0" r="0" b="0"/>
            <wp:docPr id="873781548" name="" descr="Pictographs are paintings on rock made by applying pigment (usually red ochre) with a finger or brush. Ontario has hundreds of Indigenous pictograph sites, including Mazinaubikiniguning (“the adorned rock on Agawa Lake” in Ojibway) in Lake Superior Provincial Park on Robinson-Superior Treaty land, which features pictographs likely from the 17th and 18th centuries. Some believe the Ojibway Chief Shingwaukonse (1773-1854) drew this pictograph of a horseman at Agawa Rock to represent his power as a shaman or to commemorate a war expedition.&#10;&#10;Rock pictograph on Agawa Bay, ca. 1965 (I0012696)" title="Pictograph."/>
            <wp:cNvGraphicFramePr>
              <a:graphicFrameLocks noChangeAspect="1"/>
            </wp:cNvGraphicFramePr>
            <a:graphic>
              <a:graphicData uri="http://schemas.openxmlformats.org/drawingml/2006/picture">
                <pic:pic>
                  <pic:nvPicPr>
                    <pic:cNvPr id="0" name=""/>
                    <pic:cNvPicPr/>
                  </pic:nvPicPr>
                  <pic:blipFill>
                    <a:blip r:embed="R6ac8a145e07c401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F275ACF" w:rsidP="6F275ACF" w:rsidRDefault="6F275ACF" w14:paraId="3EF885B8" w14:textId="53DC4E6E" w14:noSpellErr="1">
      <w:pPr>
        <w:jc w:val="center"/>
      </w:pPr>
      <w:r>
        <w:br w:type="page"/>
      </w:r>
      <w:r w:rsidR="3D9AF9CA">
        <w:drawing>
          <wp:inline wp14:editId="383289E0" wp14:anchorId="0B9B0438">
            <wp:extent cx="4572000" cy="3048000"/>
            <wp:effectExtent l="0" t="0" r="0" b="0"/>
            <wp:docPr id="423381125" name="" descr="A colour scan of two pages from a diary. The handwritten text “July 14th, 1881” and “Diary - No. II” appear on the left page, along with hand drawn illustrations of women in profile looking to the left. A distressed sticker of a large home also appears. At right is a full page of handwritten cursive text, torn in the bottom right corner. Some of the binding of the spine can be seen at centre." title="Primary Source."/>
            <wp:cNvGraphicFramePr>
              <a:graphicFrameLocks noChangeAspect="1"/>
            </wp:cNvGraphicFramePr>
            <a:graphic>
              <a:graphicData uri="http://schemas.openxmlformats.org/drawingml/2006/picture">
                <pic:pic>
                  <pic:nvPicPr>
                    <pic:cNvPr id="0" name=""/>
                    <pic:cNvPicPr/>
                  </pic:nvPicPr>
                  <pic:blipFill>
                    <a:blip r:embed="R2b11ee1539e1407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20A7B488" w14:textId="0DDEFFBF" w14:noSpellErr="1">
      <w:pPr>
        <w:jc w:val="center"/>
      </w:pPr>
      <w:r>
        <w:br w:type="page"/>
      </w:r>
      <w:r w:rsidR="6AF68071">
        <w:drawing>
          <wp:inline wp14:editId="56543193" wp14:anchorId="253CF657">
            <wp:extent cx="4572000" cy="3048000"/>
            <wp:effectExtent l="0" t="0" r="0" b="0"/>
            <wp:docPr id="1145227494" name="" descr="Primary sources are records created in the past that provide firsthand accounts of the events, practices, or conditions of the time. Examples include letters, photographs, oral histories, emails, financial records, newspaper articles, and diaries, like this diary by thirteen-year-old Martha Hastie, who documented her life in Lindsay in the early 1880s. Primary sources also include firsthand accounts documented later, such as autobiographies, memoirs, and oral histories.&#10;&#10;Martha Hastie's self portraits and first diary entry for 1881, Lindsay, Ontario, July 14, 1881 (I0032544) " title="Primary Source."/>
            <wp:cNvGraphicFramePr>
              <a:graphicFrameLocks noChangeAspect="1"/>
            </wp:cNvGraphicFramePr>
            <a:graphic>
              <a:graphicData uri="http://schemas.openxmlformats.org/drawingml/2006/picture">
                <pic:pic>
                  <pic:nvPicPr>
                    <pic:cNvPr id="0" name=""/>
                    <pic:cNvPicPr/>
                  </pic:nvPicPr>
                  <pic:blipFill>
                    <a:blip r:embed="R996153a27837496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3EE4B156" w14:textId="629EAFDC" w14:noSpellErr="1">
      <w:pPr>
        <w:jc w:val="center"/>
      </w:pPr>
      <w:r>
        <w:br w:type="page"/>
      </w:r>
      <w:r w:rsidR="488A4B07">
        <w:drawing>
          <wp:inline wp14:editId="76731E24" wp14:anchorId="04CD11C2">
            <wp:extent cx="4572000" cy="3048000"/>
            <wp:effectExtent l="0" t="0" r="0" b="0"/>
            <wp:docPr id="1025308405" name="" descr="A smiling Caucasian man lies in a pig pen looking down, covered in ten piglets. The mustached man is at right, wearing a plaid flat cap, a button-up collared jean shirt, overalls, work boots and gloves, holding a cane in his right hand. The furry piglets crawl all over him and are mostly black, some with white patches. They are on straw in front of a wooden slat partition." title="Quality of Life."/>
            <wp:cNvGraphicFramePr>
              <a:graphicFrameLocks noChangeAspect="1"/>
            </wp:cNvGraphicFramePr>
            <a:graphic>
              <a:graphicData uri="http://schemas.openxmlformats.org/drawingml/2006/picture">
                <pic:pic>
                  <pic:nvPicPr>
                    <pic:cNvPr id="0" name=""/>
                    <pic:cNvPicPr/>
                  </pic:nvPicPr>
                  <pic:blipFill>
                    <a:blip r:embed="Re1711632a33b4e2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95922D5" w14:textId="486DF5AD" w14:noSpellErr="1">
      <w:pPr>
        <w:jc w:val="center"/>
      </w:pPr>
      <w:r>
        <w:br w:type="page"/>
      </w:r>
      <w:r w:rsidR="6D722D4F">
        <w:drawing>
          <wp:inline wp14:editId="17CA8C4C" wp14:anchorId="5AC9F420">
            <wp:extent cx="4572000" cy="3048000"/>
            <wp:effectExtent l="0" t="0" r="0" b="0"/>
            <wp:docPr id="878920048" name="" descr="Quality of life is a person’s measure of their general well-being. It is affected in complex ways by a person's physical health, psychological state, personal beliefs, social relationships, and relationship to their environment. It can refer to how a person experiences their life and to the conditions in which they find themselves. Playing with cute animals, like the man covered in piglets in this photograph, can certainly improve your quality of life!&#10;&#10;Indiana State, ca. 1909-1930 (I0033809)" title="Quality of Life."/>
            <wp:cNvGraphicFramePr>
              <a:graphicFrameLocks noChangeAspect="1"/>
            </wp:cNvGraphicFramePr>
            <a:graphic>
              <a:graphicData uri="http://schemas.openxmlformats.org/drawingml/2006/picture">
                <pic:pic>
                  <pic:nvPicPr>
                    <pic:cNvPr id="0" name=""/>
                    <pic:cNvPicPr/>
                  </pic:nvPicPr>
                  <pic:blipFill>
                    <a:blip r:embed="Rbcb35ca6aa72484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9AC9304" w14:textId="5011C9D3" w14:noSpellErr="1">
      <w:pPr>
        <w:jc w:val="center"/>
      </w:pPr>
      <w:r>
        <w:br w:type="page"/>
      </w:r>
      <w:r w:rsidR="1DE2122D">
        <w:drawing>
          <wp:inline wp14:editId="7F6596A2" wp14:anchorId="572CAFE0">
            <wp:extent cx="4572000" cy="3048000"/>
            <wp:effectExtent l="0" t="0" r="0" b="0"/>
            <wp:docPr id="1375802494" name="" descr="Two colour photographs of the front and back of a red cloth banner with white hand-painted text. The top, front banner reads, “BIDWELL and the GLORIOUS MANORITY [sic MINORITY]” and, “1837 and A GOOD BEGINNING.” The bottom, back banner has two leaves drawn on it and reads, “VICTORIA the 1st and REFORM.”" title="Rebellion."/>
            <wp:cNvGraphicFramePr>
              <a:graphicFrameLocks noChangeAspect="1"/>
            </wp:cNvGraphicFramePr>
            <a:graphic>
              <a:graphicData uri="http://schemas.openxmlformats.org/drawingml/2006/picture">
                <pic:pic>
                  <pic:nvPicPr>
                    <pic:cNvPr id="0" name=""/>
                    <pic:cNvPicPr/>
                  </pic:nvPicPr>
                  <pic:blipFill>
                    <a:blip r:embed="R33f4bced4221444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6F933DF4" w14:textId="36A042C6" w14:noSpellErr="1">
      <w:pPr>
        <w:jc w:val="center"/>
      </w:pPr>
      <w:r>
        <w:br w:type="page"/>
      </w:r>
      <w:r w:rsidR="42155ACC">
        <w:drawing>
          <wp:inline wp14:editId="226CC64D" wp14:anchorId="1F12A765">
            <wp:extent cx="4572000" cy="3048000"/>
            <wp:effectExtent l="0" t="0" r="0" b="0"/>
            <wp:docPr id="1826211414" name="" descr="Rebellion refers to open resistance against a person or group in power. Growing anger towards the British colonial government in Upper Canada (now Ontario) forced the Rebellion of 1837 led by William Lyon Mackenzie. Carrying this banner, Mackenzie and his followers marched down Yonge Street in Toronto, demanding political reform. Although initially unsuccessful, the rebellion was one of several uprisings that led to responsible government and the union of Upper and Lower Canada in 1841.&#10;&#10;1837 Rebellion Banner (front and back), 1837 (I0032668 and I0032669)" title="Rebellion."/>
            <wp:cNvGraphicFramePr>
              <a:graphicFrameLocks noChangeAspect="1"/>
            </wp:cNvGraphicFramePr>
            <a:graphic>
              <a:graphicData uri="http://schemas.openxmlformats.org/drawingml/2006/picture">
                <pic:pic>
                  <pic:nvPicPr>
                    <pic:cNvPr id="0" name=""/>
                    <pic:cNvPicPr/>
                  </pic:nvPicPr>
                  <pic:blipFill>
                    <a:blip r:embed="R34dd769f5f5c416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4274185" w14:textId="1602C52C" w14:noSpellErr="1">
      <w:pPr>
        <w:jc w:val="center"/>
      </w:pPr>
      <w:r>
        <w:br w:type="page"/>
      </w:r>
      <w:r w:rsidR="7B01C75B">
        <w:drawing>
          <wp:inline wp14:editId="0DE88671" wp14:anchorId="39B7FA0A">
            <wp:extent cx="4572000" cy="3048000"/>
            <wp:effectExtent l="0" t="0" r="0" b="0"/>
            <wp:docPr id="352560943" name="" descr="A black and white photo of several Caucasian people, at right, standing outside a building, at left. One group of men and women are dressed in summer casual formal wear in front of the building. Behind them are more people standing outside of and under a large party tent. The wooden building is two stories, with several windows on both levels on the front side and an open door on the main floor. The second floor of the building is triangular. Multiple solar panels are affixed to the side of the second floor, with a long wire coming out of the building. The building is surrounded by grass with a path running out of it and between the building and tent. A fence runs along the other side of the building." title="Renewable."/>
            <wp:cNvGraphicFramePr>
              <a:graphicFrameLocks noChangeAspect="1"/>
            </wp:cNvGraphicFramePr>
            <a:graphic>
              <a:graphicData uri="http://schemas.openxmlformats.org/drawingml/2006/picture">
                <pic:pic>
                  <pic:nvPicPr>
                    <pic:cNvPr id="0" name=""/>
                    <pic:cNvPicPr/>
                  </pic:nvPicPr>
                  <pic:blipFill>
                    <a:blip r:embed="Re10679fcf78e405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25EEC3E2" w14:textId="6056E98C" w14:noSpellErr="1">
      <w:pPr>
        <w:jc w:val="center"/>
      </w:pPr>
      <w:r>
        <w:br w:type="page"/>
      </w:r>
      <w:r w:rsidR="64EAAF4B">
        <w:drawing>
          <wp:inline wp14:editId="0F475107" wp14:anchorId="4A1CE648">
            <wp:extent cx="4572000" cy="3048000"/>
            <wp:effectExtent l="0" t="0" r="0" b="0"/>
            <wp:docPr id="1115814801" name="" descr="Renewable energy is produced from energy sources that are not reduced in supply when used, or are naturally restored within a human lifetime, such as wind and solar power. Provident House in King City was the first home in Canada to store heat from solar power for use at other times of the year. This photo from the Archives of Ontario’s collections documents its opening reception in June 1976.&#10;&#10;Provident Solar House, King City, Ontario, June 25, 1976 (I0056056)" title="Renewable."/>
            <wp:cNvGraphicFramePr>
              <a:graphicFrameLocks noChangeAspect="1"/>
            </wp:cNvGraphicFramePr>
            <a:graphic>
              <a:graphicData uri="http://schemas.openxmlformats.org/drawingml/2006/picture">
                <pic:pic>
                  <pic:nvPicPr>
                    <pic:cNvPr id="0" name=""/>
                    <pic:cNvPicPr/>
                  </pic:nvPicPr>
                  <pic:blipFill>
                    <a:blip r:embed="Re57c2c30434b458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1D2A983C" w14:textId="48528282" w14:noSpellErr="1">
      <w:pPr>
        <w:jc w:val="center"/>
      </w:pPr>
      <w:r>
        <w:br w:type="page"/>
      </w:r>
      <w:r w:rsidR="3D1459DF">
        <w:drawing>
          <wp:inline wp14:editId="3488479D" wp14:anchorId="1AC8EACF">
            <wp:extent cx="4572000" cy="3048000"/>
            <wp:effectExtent l="0" t="0" r="0" b="0"/>
            <wp:docPr id="1494671894" name="" descr="A black and white photo of several wooden buildings surrounded by trees and fields. In the front of the photo potato plants are growing. At left, rising out of the field, are a stand of tall trees. A three-story building is in the centre of the photo. It is rung by a porch on the first floor and balcony along the second. The building has an angled roof and a tower rising out of it with a weathervane atop it. The other buildings are smaller two-story buildings with angled roofs. In the background are a tree line and cloudy sky." title="Residential Schools."/>
            <wp:cNvGraphicFramePr>
              <a:graphicFrameLocks noChangeAspect="1"/>
            </wp:cNvGraphicFramePr>
            <a:graphic>
              <a:graphicData uri="http://schemas.openxmlformats.org/drawingml/2006/picture">
                <pic:pic>
                  <pic:nvPicPr>
                    <pic:cNvPr id="0" name=""/>
                    <pic:cNvPicPr/>
                  </pic:nvPicPr>
                  <pic:blipFill>
                    <a:blip r:embed="R2b906fd3614c471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36EEA81D" w14:textId="7716428B" w14:noSpellErr="1">
      <w:pPr>
        <w:jc w:val="center"/>
      </w:pPr>
      <w:r>
        <w:br w:type="page"/>
      </w:r>
      <w:r w:rsidR="765DDB67">
        <w:drawing>
          <wp:inline wp14:editId="6B32B2FD" wp14:anchorId="453CF204">
            <wp:extent cx="4572000" cy="3048000"/>
            <wp:effectExtent l="0" t="0" r="0" b="0"/>
            <wp:docPr id="1524714696" name="" descr="Residential schools were mandatory boarding schools for Indigenous children, funded by the Canadian government and run by churches. Moose Fort Indian Residential School, later called Bishop Horden Hall, was one of 15 residential schools in Ontario. Created under the Indian Act of 1876, the schools operated until 1996. As tools of colonization and genocide, they separated Indigenous children from their families, languages, and traditions, and exposed them to abuse. The Truth and Reconciliation Commission’s 94 Calls to Action were released in 2015 to address residential schools’ lasting impact on survivors, their descendants, and communities.&#10;&#10;[Moose Fort Indian Residential School], Moose Factory, 1920 (I0055879)" title="Residential Schools."/>
            <wp:cNvGraphicFramePr>
              <a:graphicFrameLocks noChangeAspect="1"/>
            </wp:cNvGraphicFramePr>
            <a:graphic>
              <a:graphicData uri="http://schemas.openxmlformats.org/drawingml/2006/picture">
                <pic:pic>
                  <pic:nvPicPr>
                    <pic:cNvPr id="0" name=""/>
                    <pic:cNvPicPr/>
                  </pic:nvPicPr>
                  <pic:blipFill>
                    <a:blip r:embed="Rfb4a75291eab4a6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C6496E6" w14:textId="69842CBC" w14:noSpellErr="1">
      <w:pPr>
        <w:jc w:val="center"/>
      </w:pPr>
      <w:r>
        <w:br w:type="page"/>
      </w:r>
      <w:r w:rsidR="176D02C7">
        <w:drawing>
          <wp:inline wp14:editId="0608BCBA" wp14:anchorId="23CED69D">
            <wp:extent cx="3048000" cy="4572000"/>
            <wp:effectExtent l="0" t="0" r="0" b="0"/>
            <wp:docPr id="1682328230" name="" descr="A colour scan of the front cover of a textbook. The cover is printed in red and blue ink. Hand-lettered text reads, “Public School Geography”, set in a rectangle frame with a wide oval at the top. An abstracted floral illustration repeats in each top corner. At centre, an image of a woman is framed by ornate, abstracted floral illustrations. The woman is in the sky in front of a globe. She is holding a pen before an unfurled scroll in one hand, and a genie-style oil lamp in the other. The lamp is giving off a puff of smoke that surrounds the woman, globe and sky. At the bottom, text reads, “Toronto, Canada Publishing Co. Limited.” and “Price 75 cents.”" title="Secondary Source."/>
            <wp:cNvGraphicFramePr>
              <a:graphicFrameLocks noChangeAspect="1"/>
            </wp:cNvGraphicFramePr>
            <a:graphic>
              <a:graphicData uri="http://schemas.openxmlformats.org/drawingml/2006/picture">
                <pic:pic>
                  <pic:nvPicPr>
                    <pic:cNvPr id="0" name=""/>
                    <pic:cNvPicPr/>
                  </pic:nvPicPr>
                  <pic:blipFill>
                    <a:blip r:embed="Ra77013d7f8174c0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5186C725" w14:textId="1ED8A95D" w14:noSpellErr="1">
      <w:pPr>
        <w:jc w:val="center"/>
      </w:pPr>
      <w:r>
        <w:br w:type="page"/>
      </w:r>
      <w:r w:rsidR="47C19960">
        <w:drawing>
          <wp:inline wp14:editId="0C1282A6" wp14:anchorId="7C280C96">
            <wp:extent cx="3048000" cy="4572000"/>
            <wp:effectExtent l="0" t="0" r="0" b="0"/>
            <wp:docPr id="53127230" name="" descr="Secondary sources are documents or records about the past created by someone who did not experience, meet, or participate firsthand in the events, people, or period under study. Secondary sources often describe, interpret, and assess eyewitness accounts of the past (primary sources). Common secondary source examples are journal articles, book and movie reviews, documentaries, biographies, and textbooks—like this geography textbook used by public school students in the 1900s.&#10;&#10;Public School Geography textbook, ca. 1900 (I0032550)" title="Secondary Source."/>
            <wp:cNvGraphicFramePr>
              <a:graphicFrameLocks noChangeAspect="1"/>
            </wp:cNvGraphicFramePr>
            <a:graphic>
              <a:graphicData uri="http://schemas.openxmlformats.org/drawingml/2006/picture">
                <pic:pic>
                  <pic:nvPicPr>
                    <pic:cNvPr id="0" name=""/>
                    <pic:cNvPicPr/>
                  </pic:nvPicPr>
                  <pic:blipFill>
                    <a:blip r:embed="R91c81ea70fdd435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4D494C57" w14:textId="0E02CA2A" w14:noSpellErr="1">
      <w:pPr>
        <w:jc w:val="center"/>
      </w:pPr>
      <w:r>
        <w:br w:type="page"/>
      </w:r>
      <w:r w:rsidR="5A63F388">
        <w:drawing>
          <wp:inline wp14:editId="212F9565" wp14:anchorId="3876C683">
            <wp:extent cx="4572000" cy="3048000"/>
            <wp:effectExtent l="0" t="0" r="0" b="0"/>
            <wp:docPr id="680167425" name="" descr="A black and white image of seven Black male children standing outside of a small building. The boys are each wearing flat caps, collared jackets, pants and high boots are arranged in order from tallest at left, to shortest at right. They are standing in front of a dilapidatedlooking wooden one-room schoolhouse. The building’s door is open and it has a slanted roof and chimney. Other buildings can be seen in the background, along with a couple of trees at left, one in front of and one behind the building." title="Segregation."/>
            <wp:cNvGraphicFramePr>
              <a:graphicFrameLocks noChangeAspect="1"/>
            </wp:cNvGraphicFramePr>
            <a:graphic>
              <a:graphicData uri="http://schemas.openxmlformats.org/drawingml/2006/picture">
                <pic:pic>
                  <pic:nvPicPr>
                    <pic:cNvPr id="0" name=""/>
                    <pic:cNvPicPr/>
                  </pic:nvPicPr>
                  <pic:blipFill>
                    <a:blip r:embed="R79476a136b5c468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3764BC9F" w14:textId="1EA322EF" w14:noSpellErr="1">
      <w:pPr>
        <w:jc w:val="center"/>
      </w:pPr>
      <w:r>
        <w:br w:type="page"/>
      </w:r>
      <w:r w:rsidR="6B7301C2">
        <w:drawing>
          <wp:inline wp14:editId="75520F95" wp14:anchorId="1DED629A">
            <wp:extent cx="4572000" cy="3048000"/>
            <wp:effectExtent l="0" t="0" r="0" b="0"/>
            <wp:docPr id="2103954438" name="" descr="Segregation is the practice of separating people by race. The 1850 Common Schools Act allowed the creation of separate schools for Black children in Canada West (now Ontario). Black parents organized to challenge the exclusion of their children from public schools, but the practice continued in some areas throughout the 20th century. The last segregated school in Ontario closed in 1965, thanks to parent activism and the efforts of Ontario’s first Black MPP, Leonard Braithewaite.&#10;&#10;Children in front of the Marble Village Coloured School, [ca. 1900] (I0024783)" title="Segregation."/>
            <wp:cNvGraphicFramePr>
              <a:graphicFrameLocks noChangeAspect="1"/>
            </wp:cNvGraphicFramePr>
            <a:graphic>
              <a:graphicData uri="http://schemas.openxmlformats.org/drawingml/2006/picture">
                <pic:pic>
                  <pic:nvPicPr>
                    <pic:cNvPr id="0" name=""/>
                    <pic:cNvPicPr/>
                  </pic:nvPicPr>
                  <pic:blipFill>
                    <a:blip r:embed="Rdca056a41eeb498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5103FA4" w14:textId="1F929A0A" w14:noSpellErr="1">
      <w:pPr>
        <w:jc w:val="center"/>
      </w:pPr>
      <w:r>
        <w:br w:type="page"/>
      </w:r>
      <w:r w:rsidR="370B9EE0">
        <w:drawing>
          <wp:inline wp14:editId="4B212D6D" wp14:anchorId="088FAF65">
            <wp:extent cx="3048000" cy="4572000"/>
            <wp:effectExtent l="0" t="0" r="0" b="0"/>
            <wp:docPr id="725366196" name="" descr="A close-up black and white photo of Marie Rauter examining the needles of a red pine tree. Rauter is short-haired, blonde, and Caucasian. She is smiling, wearing a white shirt with rolled up sleeves." title="Stewardship."/>
            <wp:cNvGraphicFramePr>
              <a:graphicFrameLocks noChangeAspect="1"/>
            </wp:cNvGraphicFramePr>
            <a:graphic>
              <a:graphicData uri="http://schemas.openxmlformats.org/drawingml/2006/picture">
                <pic:pic>
                  <pic:nvPicPr>
                    <pic:cNvPr id="0" name=""/>
                    <pic:cNvPicPr/>
                  </pic:nvPicPr>
                  <pic:blipFill>
                    <a:blip r:embed="R15458e9091c4420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7878A574" w14:textId="00A0A3D1" w14:noSpellErr="1">
      <w:pPr>
        <w:jc w:val="center"/>
      </w:pPr>
      <w:r>
        <w:br w:type="page"/>
      </w:r>
      <w:r w:rsidR="6C2306DF">
        <w:drawing>
          <wp:inline wp14:editId="42850795" wp14:anchorId="46FC9DAB">
            <wp:extent cx="3048000" cy="4572000"/>
            <wp:effectExtent l="0" t="0" r="0" b="0"/>
            <wp:docPr id="158660743" name="" descr="Stewardship is the careful and responsible management of something—often our environment and natural resources. As a forester, Marie Rauter is shown in this photograph caring for the health of Ontario’s forests. Her work includes responsibilities such as protecting forests from insects, disease, and fire; managing the cutting and sale of timber; developing plans for planting and growing trees; and improving habitats for many species. &#10;&#10;Marie Rauter – Forester, in You're A What? brochure [detail], 1966-1971 (I0073858)" title="Stewardship."/>
            <wp:cNvGraphicFramePr>
              <a:graphicFrameLocks noChangeAspect="1"/>
            </wp:cNvGraphicFramePr>
            <a:graphic>
              <a:graphicData uri="http://schemas.openxmlformats.org/drawingml/2006/picture">
                <pic:pic>
                  <pic:nvPicPr>
                    <pic:cNvPr id="0" name=""/>
                    <pic:cNvPicPr/>
                  </pic:nvPicPr>
                  <pic:blipFill>
                    <a:blip r:embed="R6b647112154441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7CAD036B" w14:textId="03CBACE1" w14:noSpellErr="1">
      <w:pPr>
        <w:jc w:val="center"/>
      </w:pPr>
      <w:r>
        <w:br w:type="page"/>
      </w:r>
      <w:r w:rsidR="3F45B079">
        <w:drawing>
          <wp:inline wp14:editId="051C6964" wp14:anchorId="0C9176DF">
            <wp:extent cx="4572000" cy="3048000"/>
            <wp:effectExtent l="0" t="0" r="0" b="0"/>
            <wp:docPr id="838700188" name="" descr="A black and white photo of nine Caucasian women protesting outdoors. The women are wearing winter clothing. They are holding signs affixed to wooden handles or have signs strung over their heads hanging down off the front of their bodies. One woman is obscured and only her hand holding a sign can be seen. Their hand-lettered signs read: “On Strike, Unfair Bargaining”; “Improved Status for Nursing Teachers”; “Happiness is High Wages”; “Nurse-Teachers Need Support”; “Let’s Negotiate for Nursing”; and “Nurse Teachers on Strike”. A couple of the signs are unreadable because there are signs in front of them. The women are walking on a grass path. They are in front of a rectangular brick building complex. A sign outside the building affixed to two wooden poles reads, “Hamilton &amp; District School of Nursing”." title="Strikes."/>
            <wp:cNvGraphicFramePr>
              <a:graphicFrameLocks noChangeAspect="1"/>
            </wp:cNvGraphicFramePr>
            <a:graphic>
              <a:graphicData uri="http://schemas.openxmlformats.org/drawingml/2006/picture">
                <pic:pic>
                  <pic:nvPicPr>
                    <pic:cNvPr id="0" name=""/>
                    <pic:cNvPicPr/>
                  </pic:nvPicPr>
                  <pic:blipFill>
                    <a:blip r:embed="R952415e694824d1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7ECDABB5" w14:textId="71F392A4" w14:noSpellErr="1">
      <w:pPr>
        <w:jc w:val="center"/>
      </w:pPr>
      <w:r>
        <w:br w:type="page"/>
      </w:r>
      <w:r w:rsidR="4EFEE9AC">
        <w:drawing>
          <wp:inline wp14:editId="7EAC69C2" wp14:anchorId="3AE79106">
            <wp:extent cx="4572000" cy="3048000"/>
            <wp:effectExtent l="0" t="0" r="0" b="0"/>
            <wp:docPr id="566262828" name="" descr="A strike is a collective and organized shutdown or slowdown of work by employees to urge their employer to meet their demands. In 1969, as many women were joining unions and fighting for equal rights in the workforce, registered nurses went on strike in Hamilton. Their determination for recognition and better wages and working conditions led to the formation of the Ontario Nurses’ Association in 1973, an alliance of more than 100 nurses’ unions.&#10;&#10;Registered Nurses Association of Ontario strike in Hamilton, 1969 (I0013843)" title="Strikes."/>
            <wp:cNvGraphicFramePr>
              <a:graphicFrameLocks noChangeAspect="1"/>
            </wp:cNvGraphicFramePr>
            <a:graphic>
              <a:graphicData uri="http://schemas.openxmlformats.org/drawingml/2006/picture">
                <pic:pic>
                  <pic:nvPicPr>
                    <pic:cNvPr id="0" name=""/>
                    <pic:cNvPicPr/>
                  </pic:nvPicPr>
                  <pic:blipFill>
                    <a:blip r:embed="R2df2626deb744c4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0C2877BF" w14:textId="3E8BA101" w14:noSpellErr="1">
      <w:pPr>
        <w:jc w:val="center"/>
      </w:pPr>
      <w:r>
        <w:br w:type="page"/>
      </w:r>
      <w:r w:rsidR="04EE51CB">
        <w:drawing>
          <wp:inline wp14:editId="56BA4CF3" wp14:anchorId="475BBBFF">
            <wp:extent cx="3048000" cy="4572000"/>
            <wp:effectExtent l="0" t="0" r="0" b="0"/>
            <wp:docPr id="281196248" name="" descr="A colour photo of a hand-written, weathered document. Ornate lettering at the top reads, “The James Bay Treaty – Treaty No. 9”. The document then includes five further paragraphs of cursive, body text." title="Treaty."/>
            <wp:cNvGraphicFramePr>
              <a:graphicFrameLocks noChangeAspect="1"/>
            </wp:cNvGraphicFramePr>
            <a:graphic>
              <a:graphicData uri="http://schemas.openxmlformats.org/drawingml/2006/picture">
                <pic:pic>
                  <pic:nvPicPr>
                    <pic:cNvPr id="0" name=""/>
                    <pic:cNvPicPr/>
                  </pic:nvPicPr>
                  <pic:blipFill>
                    <a:blip r:embed="R75ff2cd64e83415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173E3DBF" w14:textId="1BD22827">
      <w:pPr>
        <w:jc w:val="center"/>
      </w:pPr>
      <w:r>
        <w:br w:type="page"/>
      </w:r>
      <w:r w:rsidR="2768D82A">
        <w:drawing>
          <wp:inline wp14:editId="48A4EF50" wp14:anchorId="609A4D2F">
            <wp:extent cx="3048000" cy="4572000"/>
            <wp:effectExtent l="0" t="0" r="0" b="0"/>
            <wp:docPr id="63146511" name="" title="Treaty."/>
            <wp:cNvGraphicFramePr>
              <a:graphicFrameLocks noChangeAspect="1"/>
            </wp:cNvGraphicFramePr>
            <a:graphic>
              <a:graphicData uri="http://schemas.openxmlformats.org/drawingml/2006/picture">
                <pic:pic>
                  <pic:nvPicPr>
                    <pic:cNvPr id="0" name=""/>
                    <pic:cNvPicPr/>
                  </pic:nvPicPr>
                  <pic:blipFill>
                    <a:blip r:embed="Rcb4de4be873646e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0660D86A" w14:textId="0CBB088C" w14:noSpellErr="1">
      <w:pPr>
        <w:jc w:val="center"/>
      </w:pPr>
      <w:r>
        <w:br w:type="page"/>
      </w:r>
      <w:r w:rsidR="0EDF2327">
        <w:drawing>
          <wp:inline wp14:editId="623BAA2C" wp14:anchorId="694C5A69">
            <wp:extent cx="3048000" cy="4572000"/>
            <wp:effectExtent l="0" t="0" r="0" b="0"/>
            <wp:docPr id="225519433" name="" descr="A black and white photo of an angled roof house along a gravel road. The house is at the centre of the image. The main part of the house is two stories with one-story wings on either side. Each section of the building has a chimney. A lawn is between the house and the road, which curves from right to left. At left is another building, while at right is a tall tree. There is a clear sky in the background." title="Underground Railroad."/>
            <wp:cNvGraphicFramePr>
              <a:graphicFrameLocks noChangeAspect="1"/>
            </wp:cNvGraphicFramePr>
            <a:graphic>
              <a:graphicData uri="http://schemas.openxmlformats.org/drawingml/2006/picture">
                <pic:pic>
                  <pic:nvPicPr>
                    <pic:cNvPr id="0" name=""/>
                    <pic:cNvPicPr/>
                  </pic:nvPicPr>
                  <pic:blipFill>
                    <a:blip r:embed="R5615cf4ecf23407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2F6BA710" w14:textId="4BEC9BAA" w14:noSpellErr="1">
      <w:pPr>
        <w:jc w:val="center"/>
      </w:pPr>
      <w:r>
        <w:br w:type="page"/>
      </w:r>
      <w:r w:rsidR="1C7B9186">
        <w:drawing>
          <wp:inline wp14:editId="501CF6C9" wp14:anchorId="6A0B9887">
            <wp:extent cx="3048000" cy="4572000"/>
            <wp:effectExtent l="0" t="0" r="0" b="0"/>
            <wp:docPr id="2106355026" name="" descr="The Underground Railroad—not an actual railroad—was a network of secret routes, safe houses (hiding places), and guides that helped more than 30,000 enslaved Black people in the southern United States (US) escape to freedom in the northern US and Canada following the Fugitive Slave Act of 1793. Park House in Colchester South, Ontario was one safe house for refugees from slavery entering Canada from eastern Michigan before the US banned slavery in 1865.&#10;&#10;Park House, Colchester South, a slave refuge during the 1800s, ca. 1950 (I0024851)" title="Underground Railroad."/>
            <wp:cNvGraphicFramePr>
              <a:graphicFrameLocks noChangeAspect="1"/>
            </wp:cNvGraphicFramePr>
            <a:graphic>
              <a:graphicData uri="http://schemas.openxmlformats.org/drawingml/2006/picture">
                <pic:pic>
                  <pic:nvPicPr>
                    <pic:cNvPr id="0" name=""/>
                    <pic:cNvPicPr/>
                  </pic:nvPicPr>
                  <pic:blipFill>
                    <a:blip r:embed="R1c33b5884319438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6F275ACF" w:rsidP="6F275ACF" w:rsidRDefault="6F275ACF" w14:paraId="21F81C81" w14:textId="1BB0A2DB" w14:noSpellErr="1">
      <w:pPr>
        <w:jc w:val="center"/>
      </w:pPr>
      <w:r>
        <w:br w:type="page"/>
      </w:r>
      <w:r w:rsidR="7C623C15">
        <w:drawing>
          <wp:inline wp14:editId="4ED66C40" wp14:anchorId="69C3123C">
            <wp:extent cx="4572000" cy="3048000"/>
            <wp:effectExtent l="0" t="0" r="0" b="0"/>
            <wp:docPr id="2117605745" name="" descr="A colour photo of a sunny day on Yonge Street in Toronto. Both sidewalks are busy with people and in between there is car traffic headed in either direction. Businesses can be seen in buildings across the street, one flying two Canadian flags. A parking sign can also be seen. On the closer side of the street is a post with a TTC Subway sign and a separate pole with various parking regulation signs." title="Urbanization."/>
            <wp:cNvGraphicFramePr>
              <a:graphicFrameLocks noChangeAspect="1"/>
            </wp:cNvGraphicFramePr>
            <a:graphic>
              <a:graphicData uri="http://schemas.openxmlformats.org/drawingml/2006/picture">
                <pic:pic>
                  <pic:nvPicPr>
                    <pic:cNvPr id="0" name=""/>
                    <pic:cNvPicPr/>
                  </pic:nvPicPr>
                  <pic:blipFill>
                    <a:blip r:embed="R20af4ba41d1a448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41C384A8" w14:textId="008D20A9" w14:noSpellErr="1">
      <w:pPr>
        <w:jc w:val="center"/>
      </w:pPr>
      <w:r>
        <w:br w:type="page"/>
      </w:r>
      <w:r w:rsidR="7E0B81E3">
        <w:drawing>
          <wp:inline wp14:editId="444F3E55" wp14:anchorId="5951223D">
            <wp:extent cx="4572000" cy="3048000"/>
            <wp:effectExtent l="0" t="0" r="0" b="0"/>
            <wp:docPr id="1193166454" name="" descr="Urbanization refers to the movement of people from rural areas to cities and towns (urban areas). Often associated with building, infrastructure development and industry, urbanization has been happening across the globe for thousands of years. It can have significant implications for living conditions, health, employment, transportation, politics, the economy and the environment. In Toronto, urbanization can be clearly seen through the growth of human activity, buildings, and transportation along Yonge Street since the 1790s. &#10;&#10;Yonge Street, Toronto, between 1970 and 1989 (I0005820)" title="Urbanization."/>
            <wp:cNvGraphicFramePr>
              <a:graphicFrameLocks noChangeAspect="1"/>
            </wp:cNvGraphicFramePr>
            <a:graphic>
              <a:graphicData uri="http://schemas.openxmlformats.org/drawingml/2006/picture">
                <pic:pic>
                  <pic:nvPicPr>
                    <pic:cNvPr id="0" name=""/>
                    <pic:cNvPicPr/>
                  </pic:nvPicPr>
                  <pic:blipFill>
                    <a:blip r:embed="R81e3e1b0d77d4aa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3D0A7B29" w14:textId="2DC56FE2" w14:noSpellErr="1">
      <w:pPr>
        <w:jc w:val="center"/>
      </w:pPr>
      <w:r>
        <w:br w:type="page"/>
      </w:r>
      <w:r w:rsidR="72FA10E0">
        <w:drawing>
          <wp:inline wp14:editId="179BDB28" wp14:anchorId="2A8CE58F">
            <wp:extent cx="4572000" cy="3048000"/>
            <wp:effectExtent l="0" t="0" r="0" b="0"/>
            <wp:docPr id="1715424152" name="" descr="A black and white illustration of a wooded hill. In the foreground are some bushes in front of a short picket fence. Trees grow beyond the fence, surrounding a sparsely treed grassy hill." title="Vegetation."/>
            <wp:cNvGraphicFramePr>
              <a:graphicFrameLocks noChangeAspect="1"/>
            </wp:cNvGraphicFramePr>
            <a:graphic>
              <a:graphicData uri="http://schemas.openxmlformats.org/drawingml/2006/picture">
                <pic:pic>
                  <pic:nvPicPr>
                    <pic:cNvPr id="0" name=""/>
                    <pic:cNvPicPr/>
                  </pic:nvPicPr>
                  <pic:blipFill>
                    <a:blip r:embed="R3612dd1a0cea498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446D26A1" w14:textId="7F0B56EE" w14:noSpellErr="1">
      <w:pPr>
        <w:jc w:val="center"/>
      </w:pPr>
      <w:r>
        <w:br w:type="page"/>
      </w:r>
      <w:r w:rsidR="77C3CFD6">
        <w:drawing>
          <wp:inline wp14:editId="1745C5DD" wp14:anchorId="26C0F6CE">
            <wp:extent cx="4572000" cy="3048000"/>
            <wp:effectExtent l="0" t="0" r="0" b="0"/>
            <wp:docPr id="176967258" name="" descr="Vegetation refers to all the plants or plant life in a region. It is determined primarily by climate (temperature, precipitation and sunlight), and may be affected by geology, soil composition and erosion, water drainage patterns and the actions of humans and other animals. This painting by nineteenth-century artist Anne Langton shows the plant life in Toronto’s Rosedale neighbourhood before the construction of massive homes for the city’s rich and famous.&#10;&#10;Rosedale, Toronto, ca. 1882 (I0008552)" title="Vegetation."/>
            <wp:cNvGraphicFramePr>
              <a:graphicFrameLocks noChangeAspect="1"/>
            </wp:cNvGraphicFramePr>
            <a:graphic>
              <a:graphicData uri="http://schemas.openxmlformats.org/drawingml/2006/picture">
                <pic:pic>
                  <pic:nvPicPr>
                    <pic:cNvPr id="0" name=""/>
                    <pic:cNvPicPr/>
                  </pic:nvPicPr>
                  <pic:blipFill>
                    <a:blip r:embed="Re52e7b9c116e49a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6F9EC771" w14:textId="6BA741DB" w14:noSpellErr="1">
      <w:pPr>
        <w:jc w:val="center"/>
      </w:pPr>
      <w:r>
        <w:br w:type="page"/>
      </w:r>
      <w:r w:rsidR="05113C97">
        <w:drawing>
          <wp:inline wp14:editId="4FA1E98F" wp14:anchorId="4191CF09">
            <wp:extent cx="4572000" cy="3048000"/>
            <wp:effectExtent l="0" t="0" r="0" b="0"/>
            <wp:docPr id="78141036" name="" descr="A colour photo of a wetland. In the foreground at left are low-lying plants and, at right, are a few craggy trees. Beyond, a body of water can be seen at left. In the background is a tree line in front of a cloudy blue sky." title="Wetlands."/>
            <wp:cNvGraphicFramePr>
              <a:graphicFrameLocks noChangeAspect="1"/>
            </wp:cNvGraphicFramePr>
            <a:graphic>
              <a:graphicData uri="http://schemas.openxmlformats.org/drawingml/2006/picture">
                <pic:pic>
                  <pic:nvPicPr>
                    <pic:cNvPr id="0" name=""/>
                    <pic:cNvPicPr/>
                  </pic:nvPicPr>
                  <pic:blipFill>
                    <a:blip r:embed="Rc28f8583aad14b1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F275ACF" w:rsidP="6F275ACF" w:rsidRDefault="6F275ACF" w14:paraId="5013C5D4" w14:textId="0BED1730" w14:noSpellErr="1">
      <w:pPr>
        <w:jc w:val="center"/>
      </w:pPr>
      <w:r>
        <w:br w:type="page"/>
      </w:r>
      <w:r w:rsidR="361CDA25">
        <w:drawing>
          <wp:inline wp14:editId="28E3C02C" wp14:anchorId="0446DD5C">
            <wp:extent cx="4572000" cy="3048000"/>
            <wp:effectExtent l="0" t="0" r="0" b="0"/>
            <wp:docPr id="598741592" name="" descr="Wetlands are areas flooded by water, either permanently or seasonally. In Ontario, there are four types of wetlands: swamps (also called muskegs), marshes, bogs, and fens. Wetland conservation is important, as these areas prevent flooding and erosion, provide a large supply of clean water, help moderate the climate, and support diverse plant and animal species. They also provide valuable products (like timber) for Ontario industries, and offer many opportunities for outdoor activities. &#10;&#10;Typical muskeg adjacent to the Severn River, Ontario, 1952 (I0012744)" title="Wetlands."/>
            <wp:cNvGraphicFramePr>
              <a:graphicFrameLocks noChangeAspect="1"/>
            </wp:cNvGraphicFramePr>
            <a:graphic>
              <a:graphicData uri="http://schemas.openxmlformats.org/drawingml/2006/picture">
                <pic:pic>
                  <pic:nvPicPr>
                    <pic:cNvPr id="0" name=""/>
                    <pic:cNvPicPr/>
                  </pic:nvPicPr>
                  <pic:blipFill>
                    <a:blip r:embed="R89f6d06affac47b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sectPr>
      <w:pgSz w:w="15840" w:h="12240" w:orient="landscape"/>
      <w:pgMar w:top="1440" w:right="1440" w:bottom="1440" w:left="1440" w:header="720" w:footer="720" w:gutter="0"/>
      <w:cols w:space="720"/>
      <w:docGrid w:linePitch="360"/>
      <w:headerReference w:type="default" r:id="Rc985c9a0d93744bd"/>
      <w:footerReference w:type="default" r:id="R01d2e1bba62b47cb"/>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413908DA">
      <w:tc>
        <w:tcPr>
          <w:tcW w:w="1920" w:type="dxa"/>
          <w:tcMar/>
        </w:tcPr>
        <w:p w:rsidR="332BD677" w:rsidP="332BD677" w:rsidRDefault="332BD677" w14:paraId="2C837536" w14:textId="3746F4AA">
          <w:pPr>
            <w:pStyle w:val="Header"/>
            <w:bidi w:val="0"/>
            <w:ind w:left="-115"/>
            <w:jc w:val="left"/>
          </w:pPr>
        </w:p>
      </w:tc>
      <w:tc>
        <w:tcPr>
          <w:tcW w:w="1920" w:type="dxa"/>
          <w:tcMar/>
        </w:tcPr>
        <w:p w:rsidR="332BD677" w:rsidP="332BD677" w:rsidRDefault="332BD677" w14:paraId="36AA69A2" w14:textId="53842971">
          <w:pPr>
            <w:pStyle w:val="Header"/>
            <w:bidi w:val="0"/>
            <w:jc w:val="center"/>
          </w:pPr>
        </w:p>
      </w:tc>
      <w:tc>
        <w:tcPr>
          <w:tcW w:w="1920" w:type="dxa"/>
          <w:tcMar/>
        </w:tcPr>
        <w:p w:rsidR="332BD677" w:rsidP="332BD677" w:rsidRDefault="332BD677" w14:paraId="5E701147" w14:textId="2B72958A">
          <w:pPr>
            <w:pStyle w:val="Header"/>
            <w:bidi w:val="0"/>
            <w:ind w:right="-115"/>
            <w:jc w:val="right"/>
          </w:pPr>
        </w:p>
      </w:tc>
    </w:tr>
  </w:tbl>
  <w:p w:rsidR="332BD677" w:rsidP="332BD677" w:rsidRDefault="332BD677" w14:paraId="399AC1BA" w14:textId="036E5F6C">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0F9067CA">
      <w:tc>
        <w:tcPr>
          <w:tcW w:w="1920" w:type="dxa"/>
          <w:tcMar/>
        </w:tcPr>
        <w:p w:rsidR="332BD677" w:rsidP="332BD677" w:rsidRDefault="332BD677" w14:paraId="37A0FC6E" w14:textId="19F4F080">
          <w:pPr>
            <w:pStyle w:val="Header"/>
            <w:bidi w:val="0"/>
            <w:ind w:left="-115"/>
            <w:jc w:val="left"/>
          </w:pPr>
        </w:p>
      </w:tc>
      <w:tc>
        <w:tcPr>
          <w:tcW w:w="1920" w:type="dxa"/>
          <w:tcMar/>
        </w:tcPr>
        <w:p w:rsidR="332BD677" w:rsidP="332BD677" w:rsidRDefault="332BD677" w14:paraId="2CB3B486" w14:textId="59990A8E">
          <w:pPr>
            <w:pStyle w:val="Header"/>
            <w:bidi w:val="0"/>
            <w:jc w:val="center"/>
          </w:pPr>
        </w:p>
      </w:tc>
      <w:tc>
        <w:tcPr>
          <w:tcW w:w="1920" w:type="dxa"/>
          <w:tcMar/>
        </w:tcPr>
        <w:p w:rsidR="332BD677" w:rsidP="332BD677" w:rsidRDefault="332BD677" w14:paraId="43099455" w14:textId="3E94864F">
          <w:pPr>
            <w:pStyle w:val="Header"/>
            <w:bidi w:val="0"/>
            <w:ind w:right="-115"/>
            <w:jc w:val="right"/>
          </w:pPr>
        </w:p>
      </w:tc>
    </w:tr>
  </w:tbl>
  <w:p w:rsidR="332BD677" w:rsidP="332BD677" w:rsidRDefault="332BD677" w14:paraId="50815A41" w14:textId="1BC48E5E">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trackRevisions w:val="fal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07F1E50A"/>
  <w15:docId w15:val="{fdcea6ab-3367-4c2f-a9f4-c0cfb098e542}"/>
  <w:rsids>
    <w:rsidRoot w:val="07F1E50A"/>
    <w:rsid w:val="0028A7A2"/>
    <w:rsid w:val="005A5710"/>
    <w:rsid w:val="00DEF9C3"/>
    <w:rsid w:val="0157C37E"/>
    <w:rsid w:val="0157C37E"/>
    <w:rsid w:val="015D4C47"/>
    <w:rsid w:val="01DDE401"/>
    <w:rsid w:val="02457A7D"/>
    <w:rsid w:val="02B692B0"/>
    <w:rsid w:val="02CFD353"/>
    <w:rsid w:val="031A2306"/>
    <w:rsid w:val="031EF76B"/>
    <w:rsid w:val="032F4815"/>
    <w:rsid w:val="0474654A"/>
    <w:rsid w:val="049B67B7"/>
    <w:rsid w:val="04EE51CB"/>
    <w:rsid w:val="05113C97"/>
    <w:rsid w:val="0683E196"/>
    <w:rsid w:val="069CBA27"/>
    <w:rsid w:val="0724F2B8"/>
    <w:rsid w:val="0724F2B8"/>
    <w:rsid w:val="07F1E50A"/>
    <w:rsid w:val="08059631"/>
    <w:rsid w:val="0832E760"/>
    <w:rsid w:val="08480E25"/>
    <w:rsid w:val="088A7DC6"/>
    <w:rsid w:val="09180987"/>
    <w:rsid w:val="093A288F"/>
    <w:rsid w:val="095D0426"/>
    <w:rsid w:val="0990B0E5"/>
    <w:rsid w:val="0A116A39"/>
    <w:rsid w:val="0A59E9BF"/>
    <w:rsid w:val="0AB3A95C"/>
    <w:rsid w:val="0ACF736B"/>
    <w:rsid w:val="0AF52739"/>
    <w:rsid w:val="0B8598CA"/>
    <w:rsid w:val="0C12C773"/>
    <w:rsid w:val="0CA2CAF3"/>
    <w:rsid w:val="0D9F1EDF"/>
    <w:rsid w:val="0DE01B97"/>
    <w:rsid w:val="0EB6D743"/>
    <w:rsid w:val="0EC38EA6"/>
    <w:rsid w:val="0EDF2327"/>
    <w:rsid w:val="0F0858FC"/>
    <w:rsid w:val="0F7CBB54"/>
    <w:rsid w:val="0FA3BAFD"/>
    <w:rsid w:val="1003CE51"/>
    <w:rsid w:val="10763E06"/>
    <w:rsid w:val="10FB1379"/>
    <w:rsid w:val="1100471D"/>
    <w:rsid w:val="1173BD4A"/>
    <w:rsid w:val="11756DEE"/>
    <w:rsid w:val="120723D5"/>
    <w:rsid w:val="126681A6"/>
    <w:rsid w:val="12A34C2A"/>
    <w:rsid w:val="12C9BFBF"/>
    <w:rsid w:val="13435A58"/>
    <w:rsid w:val="136A7D5C"/>
    <w:rsid w:val="1378A994"/>
    <w:rsid w:val="14124660"/>
    <w:rsid w:val="1424F467"/>
    <w:rsid w:val="142EC5E9"/>
    <w:rsid w:val="1495A879"/>
    <w:rsid w:val="14B69C29"/>
    <w:rsid w:val="15500308"/>
    <w:rsid w:val="16213C5B"/>
    <w:rsid w:val="1730DDC9"/>
    <w:rsid w:val="175023AE"/>
    <w:rsid w:val="17593578"/>
    <w:rsid w:val="176D02C7"/>
    <w:rsid w:val="17D50513"/>
    <w:rsid w:val="17D50513"/>
    <w:rsid w:val="18B966A9"/>
    <w:rsid w:val="18DA369A"/>
    <w:rsid w:val="18E4AFB1"/>
    <w:rsid w:val="194A18D2"/>
    <w:rsid w:val="1985FDCC"/>
    <w:rsid w:val="19FB65A2"/>
    <w:rsid w:val="1A7D9B29"/>
    <w:rsid w:val="1B68D3F5"/>
    <w:rsid w:val="1B919B26"/>
    <w:rsid w:val="1B919B26"/>
    <w:rsid w:val="1BE0C6B4"/>
    <w:rsid w:val="1C0D63EC"/>
    <w:rsid w:val="1C45C4E1"/>
    <w:rsid w:val="1C61ECD7"/>
    <w:rsid w:val="1C7B9186"/>
    <w:rsid w:val="1CB037A6"/>
    <w:rsid w:val="1CB037A6"/>
    <w:rsid w:val="1CD08426"/>
    <w:rsid w:val="1CF96192"/>
    <w:rsid w:val="1CFDD385"/>
    <w:rsid w:val="1D08C5C0"/>
    <w:rsid w:val="1D0ACCC3"/>
    <w:rsid w:val="1D36FE4C"/>
    <w:rsid w:val="1DBC4DB9"/>
    <w:rsid w:val="1DE2122D"/>
    <w:rsid w:val="1DE667AE"/>
    <w:rsid w:val="1E495113"/>
    <w:rsid w:val="1EBEBDCF"/>
    <w:rsid w:val="1EC3D668"/>
    <w:rsid w:val="1F10EA6A"/>
    <w:rsid w:val="1F1B06DC"/>
    <w:rsid w:val="1F2356B9"/>
    <w:rsid w:val="1F430E2F"/>
    <w:rsid w:val="1F44B7F1"/>
    <w:rsid w:val="1FDB1466"/>
    <w:rsid w:val="20331B55"/>
    <w:rsid w:val="20FAD8AF"/>
    <w:rsid w:val="21C115B9"/>
    <w:rsid w:val="21F0E774"/>
    <w:rsid w:val="2276B123"/>
    <w:rsid w:val="22F3F838"/>
    <w:rsid w:val="22FD3C36"/>
    <w:rsid w:val="23E82190"/>
    <w:rsid w:val="24140825"/>
    <w:rsid w:val="25ED71B3"/>
    <w:rsid w:val="262B5A0F"/>
    <w:rsid w:val="26303AF2"/>
    <w:rsid w:val="263DACB4"/>
    <w:rsid w:val="2685C332"/>
    <w:rsid w:val="26E60687"/>
    <w:rsid w:val="2768D82A"/>
    <w:rsid w:val="27C92A67"/>
    <w:rsid w:val="27C9CC77"/>
    <w:rsid w:val="27CB0BC2"/>
    <w:rsid w:val="27F6AD53"/>
    <w:rsid w:val="28112414"/>
    <w:rsid w:val="284257EA"/>
    <w:rsid w:val="28F945EF"/>
    <w:rsid w:val="2941B413"/>
    <w:rsid w:val="2969C9A5"/>
    <w:rsid w:val="297B6478"/>
    <w:rsid w:val="2A2FB56A"/>
    <w:rsid w:val="2AAEAAA2"/>
    <w:rsid w:val="2B970518"/>
    <w:rsid w:val="2C1B5A9A"/>
    <w:rsid w:val="2C225B67"/>
    <w:rsid w:val="2C51C61D"/>
    <w:rsid w:val="2C7A4C38"/>
    <w:rsid w:val="2CD47A93"/>
    <w:rsid w:val="2CE62101"/>
    <w:rsid w:val="2D288580"/>
    <w:rsid w:val="2D9E6732"/>
    <w:rsid w:val="2DC41823"/>
    <w:rsid w:val="2DC4378F"/>
    <w:rsid w:val="2DE8F994"/>
    <w:rsid w:val="2EBD32A4"/>
    <w:rsid w:val="2F6E96B9"/>
    <w:rsid w:val="306A07F9"/>
    <w:rsid w:val="30B95164"/>
    <w:rsid w:val="30F57FCD"/>
    <w:rsid w:val="322652A4"/>
    <w:rsid w:val="3277268C"/>
    <w:rsid w:val="32C90BD3"/>
    <w:rsid w:val="33159A4C"/>
    <w:rsid w:val="332BD677"/>
    <w:rsid w:val="33D7C7C7"/>
    <w:rsid w:val="33E84E2F"/>
    <w:rsid w:val="33FF48B4"/>
    <w:rsid w:val="34E269F1"/>
    <w:rsid w:val="355903CE"/>
    <w:rsid w:val="357614B4"/>
    <w:rsid w:val="358A959B"/>
    <w:rsid w:val="35E2A523"/>
    <w:rsid w:val="361CDA25"/>
    <w:rsid w:val="370B9EE0"/>
    <w:rsid w:val="37C9BF1F"/>
    <w:rsid w:val="37F9974A"/>
    <w:rsid w:val="381A31AC"/>
    <w:rsid w:val="382CC1DD"/>
    <w:rsid w:val="392676AA"/>
    <w:rsid w:val="3A62D913"/>
    <w:rsid w:val="3AA06721"/>
    <w:rsid w:val="3AEE7918"/>
    <w:rsid w:val="3B50686A"/>
    <w:rsid w:val="3BA43334"/>
    <w:rsid w:val="3CDE3CC9"/>
    <w:rsid w:val="3D13C4C9"/>
    <w:rsid w:val="3D1459DF"/>
    <w:rsid w:val="3D25C355"/>
    <w:rsid w:val="3D5C2623"/>
    <w:rsid w:val="3D640D60"/>
    <w:rsid w:val="3D8E17B3"/>
    <w:rsid w:val="3D9AF9CA"/>
    <w:rsid w:val="3EA0F7E1"/>
    <w:rsid w:val="3F45B079"/>
    <w:rsid w:val="3FA5ACAF"/>
    <w:rsid w:val="406A9CAE"/>
    <w:rsid w:val="4096D74E"/>
    <w:rsid w:val="4158D228"/>
    <w:rsid w:val="4176E539"/>
    <w:rsid w:val="41ABB795"/>
    <w:rsid w:val="41F57CA9"/>
    <w:rsid w:val="42155ACC"/>
    <w:rsid w:val="42C0B1FD"/>
    <w:rsid w:val="42F3FD5A"/>
    <w:rsid w:val="43540C57"/>
    <w:rsid w:val="43D98C6E"/>
    <w:rsid w:val="43F8AF52"/>
    <w:rsid w:val="44EFE886"/>
    <w:rsid w:val="45D9BE1D"/>
    <w:rsid w:val="468C8458"/>
    <w:rsid w:val="46B4E5D6"/>
    <w:rsid w:val="46E93287"/>
    <w:rsid w:val="46EDACEE"/>
    <w:rsid w:val="47668A30"/>
    <w:rsid w:val="476A2774"/>
    <w:rsid w:val="47C19960"/>
    <w:rsid w:val="481635AD"/>
    <w:rsid w:val="4851C825"/>
    <w:rsid w:val="488A4B07"/>
    <w:rsid w:val="48ED4A07"/>
    <w:rsid w:val="4A0CA61F"/>
    <w:rsid w:val="4A390988"/>
    <w:rsid w:val="4AF02E34"/>
    <w:rsid w:val="4B2F6091"/>
    <w:rsid w:val="4B4D5A4E"/>
    <w:rsid w:val="4D4A9F92"/>
    <w:rsid w:val="4DA9FCDD"/>
    <w:rsid w:val="4DC03521"/>
    <w:rsid w:val="4DC03521"/>
    <w:rsid w:val="4E4A0B15"/>
    <w:rsid w:val="4E4E35BF"/>
    <w:rsid w:val="4E7E931C"/>
    <w:rsid w:val="4EAD558B"/>
    <w:rsid w:val="4EC46C3E"/>
    <w:rsid w:val="4EFE4841"/>
    <w:rsid w:val="4EFEE9AC"/>
    <w:rsid w:val="4F3AF14C"/>
    <w:rsid w:val="4F8BE74F"/>
    <w:rsid w:val="4F977832"/>
    <w:rsid w:val="4FB0943D"/>
    <w:rsid w:val="4FE86954"/>
    <w:rsid w:val="50E96C76"/>
    <w:rsid w:val="51DAE408"/>
    <w:rsid w:val="5237003D"/>
    <w:rsid w:val="52376198"/>
    <w:rsid w:val="526D22CC"/>
    <w:rsid w:val="5285B19F"/>
    <w:rsid w:val="53A703DD"/>
    <w:rsid w:val="53FEB12F"/>
    <w:rsid w:val="542281DA"/>
    <w:rsid w:val="54D7D46C"/>
    <w:rsid w:val="559953B4"/>
    <w:rsid w:val="565DA1DF"/>
    <w:rsid w:val="567B4280"/>
    <w:rsid w:val="56DF546A"/>
    <w:rsid w:val="57A0251E"/>
    <w:rsid w:val="5815B322"/>
    <w:rsid w:val="585AA3C8"/>
    <w:rsid w:val="58EBEB75"/>
    <w:rsid w:val="590DBAC7"/>
    <w:rsid w:val="5983813D"/>
    <w:rsid w:val="59AA5868"/>
    <w:rsid w:val="59DA1E42"/>
    <w:rsid w:val="5A02F465"/>
    <w:rsid w:val="5A63F388"/>
    <w:rsid w:val="5A6601B7"/>
    <w:rsid w:val="5AB33932"/>
    <w:rsid w:val="5AE0BF9C"/>
    <w:rsid w:val="5B01F565"/>
    <w:rsid w:val="5B355B48"/>
    <w:rsid w:val="5B4EB03C"/>
    <w:rsid w:val="5C69401F"/>
    <w:rsid w:val="5CA1CA6B"/>
    <w:rsid w:val="5D06C5FA"/>
    <w:rsid w:val="5DC99379"/>
    <w:rsid w:val="5E649140"/>
    <w:rsid w:val="5E7521C8"/>
    <w:rsid w:val="5E98288C"/>
    <w:rsid w:val="5EB58BC4"/>
    <w:rsid w:val="5ED23BC0"/>
    <w:rsid w:val="5FD684E6"/>
    <w:rsid w:val="600C9245"/>
    <w:rsid w:val="60832E25"/>
    <w:rsid w:val="60B0E404"/>
    <w:rsid w:val="61E660FA"/>
    <w:rsid w:val="61E660FA"/>
    <w:rsid w:val="61FF52AC"/>
    <w:rsid w:val="62223838"/>
    <w:rsid w:val="6229781B"/>
    <w:rsid w:val="62A3EA40"/>
    <w:rsid w:val="62F7B116"/>
    <w:rsid w:val="6325D074"/>
    <w:rsid w:val="633DEDCE"/>
    <w:rsid w:val="6340C224"/>
    <w:rsid w:val="6343DC9F"/>
    <w:rsid w:val="63B291A5"/>
    <w:rsid w:val="63B689EA"/>
    <w:rsid w:val="63C710BC"/>
    <w:rsid w:val="640FFA6C"/>
    <w:rsid w:val="64626A33"/>
    <w:rsid w:val="64A75DBD"/>
    <w:rsid w:val="64EAAF4B"/>
    <w:rsid w:val="6594BCC8"/>
    <w:rsid w:val="65AC971B"/>
    <w:rsid w:val="65F42225"/>
    <w:rsid w:val="6656AA16"/>
    <w:rsid w:val="667316B7"/>
    <w:rsid w:val="66C62840"/>
    <w:rsid w:val="66D873F5"/>
    <w:rsid w:val="66DCFF29"/>
    <w:rsid w:val="66DD3EAD"/>
    <w:rsid w:val="6705AD64"/>
    <w:rsid w:val="67887C65"/>
    <w:rsid w:val="67C1FEE6"/>
    <w:rsid w:val="6821B8AD"/>
    <w:rsid w:val="68248A88"/>
    <w:rsid w:val="68FB45F8"/>
    <w:rsid w:val="6977C6E3"/>
    <w:rsid w:val="69E5E8B4"/>
    <w:rsid w:val="6AB03D60"/>
    <w:rsid w:val="6AF68071"/>
    <w:rsid w:val="6AF6ED53"/>
    <w:rsid w:val="6B09E467"/>
    <w:rsid w:val="6B7301C2"/>
    <w:rsid w:val="6C08C434"/>
    <w:rsid w:val="6C2306DF"/>
    <w:rsid w:val="6C94BB90"/>
    <w:rsid w:val="6C9A2125"/>
    <w:rsid w:val="6D7107E5"/>
    <w:rsid w:val="6D722D4F"/>
    <w:rsid w:val="6E2D0607"/>
    <w:rsid w:val="6E52C41D"/>
    <w:rsid w:val="6E65C59F"/>
    <w:rsid w:val="6EAE069A"/>
    <w:rsid w:val="6EF2C143"/>
    <w:rsid w:val="6F136186"/>
    <w:rsid w:val="6F275ACF"/>
    <w:rsid w:val="6F3D738C"/>
    <w:rsid w:val="6F8E3487"/>
    <w:rsid w:val="70801416"/>
    <w:rsid w:val="70F8849A"/>
    <w:rsid w:val="713CB176"/>
    <w:rsid w:val="718CC47E"/>
    <w:rsid w:val="71C1A6F0"/>
    <w:rsid w:val="72D9EB9C"/>
    <w:rsid w:val="72FA10E0"/>
    <w:rsid w:val="73505A29"/>
    <w:rsid w:val="7369356D"/>
    <w:rsid w:val="739C4F75"/>
    <w:rsid w:val="74211413"/>
    <w:rsid w:val="749CEE48"/>
    <w:rsid w:val="75169439"/>
    <w:rsid w:val="75169439"/>
    <w:rsid w:val="7530F556"/>
    <w:rsid w:val="756AC914"/>
    <w:rsid w:val="765DDB67"/>
    <w:rsid w:val="766CD091"/>
    <w:rsid w:val="76D1A465"/>
    <w:rsid w:val="76D988F9"/>
    <w:rsid w:val="77C3CFD6"/>
    <w:rsid w:val="788D3FD7"/>
    <w:rsid w:val="7917C764"/>
    <w:rsid w:val="7977AE7B"/>
    <w:rsid w:val="79DBF741"/>
    <w:rsid w:val="7ADE1FE7"/>
    <w:rsid w:val="7B01C75B"/>
    <w:rsid w:val="7B55F4B2"/>
    <w:rsid w:val="7BE8FC70"/>
    <w:rsid w:val="7C623C15"/>
    <w:rsid w:val="7D2290BC"/>
    <w:rsid w:val="7D91D2C4"/>
    <w:rsid w:val="7DD6DF99"/>
    <w:rsid w:val="7E0B81E3"/>
    <w:rsid w:val="7E19138E"/>
    <w:rsid w:val="7E1E3A14"/>
    <w:rsid w:val="7E91EE16"/>
    <w:rsid w:val="7EC504DE"/>
    <w:rsid w:val="7F4A192B"/>
    <w:rsid w:val="7F7B3A0F"/>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eader" Target="/word/header.xml" Id="Rc985c9a0d93744bd" /><Relationship Type="http://schemas.openxmlformats.org/officeDocument/2006/relationships/footer" Target="/word/footer.xml" Id="R01d2e1bba62b47cb" /><Relationship Type="http://schemas.openxmlformats.org/officeDocument/2006/relationships/image" Target="/media/image47.jpg" Id="Ra5ff7a7b53a14cf2" /><Relationship Type="http://schemas.openxmlformats.org/officeDocument/2006/relationships/image" Target="/media/image49.jpg" Id="R9d4bb3b0c30249cc" /><Relationship Type="http://schemas.openxmlformats.org/officeDocument/2006/relationships/image" Target="/media/image4b.jpg" Id="R473975f1dc014295" /><Relationship Type="http://schemas.openxmlformats.org/officeDocument/2006/relationships/image" Target="/media/image4c.jpg" Id="R14846171b47c43c4" /><Relationship Type="http://schemas.openxmlformats.org/officeDocument/2006/relationships/image" Target="/media/image4d.jpg" Id="R79f95b3472f84833" /><Relationship Type="http://schemas.openxmlformats.org/officeDocument/2006/relationships/image" Target="/media/image4e.jpg" Id="R155c808ce93f46ac" /><Relationship Type="http://schemas.openxmlformats.org/officeDocument/2006/relationships/image" Target="/media/image4f.jpg" Id="R41e3d5acd66b4df5" /><Relationship Type="http://schemas.openxmlformats.org/officeDocument/2006/relationships/image" Target="/media/image50.jpg" Id="R43b2b9fa703c4d30" /><Relationship Type="http://schemas.openxmlformats.org/officeDocument/2006/relationships/image" Target="/media/image51.jpg" Id="R984cd46f7b194144" /><Relationship Type="http://schemas.openxmlformats.org/officeDocument/2006/relationships/image" Target="/media/image52.jpg" Id="Rdaa820a900b847be" /><Relationship Type="http://schemas.openxmlformats.org/officeDocument/2006/relationships/image" Target="/media/image53.jpg" Id="R0775ae7996244989" /><Relationship Type="http://schemas.openxmlformats.org/officeDocument/2006/relationships/image" Target="/media/image54.jpg" Id="Recf1c47c22df4eb1" /><Relationship Type="http://schemas.openxmlformats.org/officeDocument/2006/relationships/image" Target="/media/image55.jpg" Id="Rf7e193ec90b84488" /><Relationship Type="http://schemas.openxmlformats.org/officeDocument/2006/relationships/image" Target="/media/image56.jpg" Id="Rf34667aeca7043de" /><Relationship Type="http://schemas.openxmlformats.org/officeDocument/2006/relationships/image" Target="/media/image57.jpg" Id="R0e994d686b5a4632" /><Relationship Type="http://schemas.openxmlformats.org/officeDocument/2006/relationships/image" Target="/media/image58.jpg" Id="R03c9d911c8ce4cf6" /><Relationship Type="http://schemas.openxmlformats.org/officeDocument/2006/relationships/image" Target="/media/image59.jpg" Id="Rd877baaef2624d22" /><Relationship Type="http://schemas.openxmlformats.org/officeDocument/2006/relationships/image" Target="/media/image5a.jpg" Id="R56cd9ef65b204280" /><Relationship Type="http://schemas.openxmlformats.org/officeDocument/2006/relationships/image" Target="/media/image5b.jpg" Id="Re57d053a17ba4012" /><Relationship Type="http://schemas.openxmlformats.org/officeDocument/2006/relationships/image" Target="/media/image5c.jpg" Id="R95c775e5078540eb" /><Relationship Type="http://schemas.openxmlformats.org/officeDocument/2006/relationships/image" Target="/media/image5d.jpg" Id="R66d6464e12864b95" /><Relationship Type="http://schemas.openxmlformats.org/officeDocument/2006/relationships/image" Target="/media/image5e.jpg" Id="R548409c698dd4ac2" /><Relationship Type="http://schemas.openxmlformats.org/officeDocument/2006/relationships/image" Target="/media/image5f.jpg" Id="R06a4654a7b614922" /><Relationship Type="http://schemas.openxmlformats.org/officeDocument/2006/relationships/image" Target="/media/image60.jpg" Id="R9f625372e5304bff" /><Relationship Type="http://schemas.openxmlformats.org/officeDocument/2006/relationships/image" Target="/media/image61.jpg" Id="R420008de5f7244a4" /><Relationship Type="http://schemas.openxmlformats.org/officeDocument/2006/relationships/image" Target="/media/image63.jpg" Id="R3b65a1fd65714eb9" /><Relationship Type="http://schemas.openxmlformats.org/officeDocument/2006/relationships/image" Target="/media/image65.jpg" Id="R2472d3f5d65b49c8" /><Relationship Type="http://schemas.openxmlformats.org/officeDocument/2006/relationships/image" Target="/media/image66.jpg" Id="R57cac16cbb224879" /><Relationship Type="http://schemas.openxmlformats.org/officeDocument/2006/relationships/image" Target="/media/image67.jpg" Id="R78870d134dc947f0" /><Relationship Type="http://schemas.openxmlformats.org/officeDocument/2006/relationships/image" Target="/media/image68.jpg" Id="R163521c1a29a4a9d" /><Relationship Type="http://schemas.openxmlformats.org/officeDocument/2006/relationships/image" Target="/media/imageae.jpg" Id="Rf389ea4ec5984a56" /><Relationship Type="http://schemas.openxmlformats.org/officeDocument/2006/relationships/image" Target="/media/imageaf.jpg" Id="R6f306f7180584328" /><Relationship Type="http://schemas.openxmlformats.org/officeDocument/2006/relationships/image" Target="/media/imageb0.jpg" Id="R74adf4f91ce34a24" /><Relationship Type="http://schemas.openxmlformats.org/officeDocument/2006/relationships/image" Target="/media/imageb1.jpg" Id="Re73f32060b6249df" /><Relationship Type="http://schemas.openxmlformats.org/officeDocument/2006/relationships/image" Target="/media/imageb2.jpg" Id="Rb4b3404c018c463f" /><Relationship Type="http://schemas.openxmlformats.org/officeDocument/2006/relationships/image" Target="/media/imageb4.jpg" Id="R2b11ee1539e1407c" /><Relationship Type="http://schemas.openxmlformats.org/officeDocument/2006/relationships/image" Target="/media/imageb5.jpg" Id="R996153a278374962" /><Relationship Type="http://schemas.openxmlformats.org/officeDocument/2006/relationships/image" Target="/media/imageb6.jpg" Id="Re1711632a33b4e2f" /><Relationship Type="http://schemas.openxmlformats.org/officeDocument/2006/relationships/image" Target="/media/imageb7.jpg" Id="Rbcb35ca6aa724849" /><Relationship Type="http://schemas.openxmlformats.org/officeDocument/2006/relationships/image" Target="/media/imageb8.jpg" Id="R33f4bced4221444e" /><Relationship Type="http://schemas.openxmlformats.org/officeDocument/2006/relationships/image" Target="/media/imageb9.jpg" Id="R34dd769f5f5c416c" /><Relationship Type="http://schemas.openxmlformats.org/officeDocument/2006/relationships/image" Target="/media/imageba.jpg" Id="Re10679fcf78e4055" /><Relationship Type="http://schemas.openxmlformats.org/officeDocument/2006/relationships/image" Target="/media/imagebb.jpg" Id="Re57c2c30434b458a" /><Relationship Type="http://schemas.openxmlformats.org/officeDocument/2006/relationships/image" Target="/media/imagebc.jpg" Id="R2b906fd3614c4717" /><Relationship Type="http://schemas.openxmlformats.org/officeDocument/2006/relationships/image" Target="/media/imagebd.jpg" Id="Rfb4a75291eab4a6e" /><Relationship Type="http://schemas.openxmlformats.org/officeDocument/2006/relationships/image" Target="/media/imagebe.jpg" Id="Ra77013d7f8174c0b" /><Relationship Type="http://schemas.openxmlformats.org/officeDocument/2006/relationships/image" Target="/media/imagebf.jpg" Id="R91c81ea70fdd4354" /><Relationship Type="http://schemas.openxmlformats.org/officeDocument/2006/relationships/image" Target="/media/imagec0.jpg" Id="R79476a136b5c4683" /><Relationship Type="http://schemas.openxmlformats.org/officeDocument/2006/relationships/image" Target="/media/imagec1.jpg" Id="Rdca056a41eeb4988" /><Relationship Type="http://schemas.openxmlformats.org/officeDocument/2006/relationships/image" Target="/media/imagec2.jpg" Id="R15458e9091c4420f" /><Relationship Type="http://schemas.openxmlformats.org/officeDocument/2006/relationships/image" Target="/media/imagec3.jpg" Id="R6b64711215444109" /><Relationship Type="http://schemas.openxmlformats.org/officeDocument/2006/relationships/image" Target="/media/imagec4.jpg" Id="R952415e694824d1c" /><Relationship Type="http://schemas.openxmlformats.org/officeDocument/2006/relationships/image" Target="/media/imagec5.jpg" Id="R2df2626deb744c45" /><Relationship Type="http://schemas.openxmlformats.org/officeDocument/2006/relationships/image" Target="/media/imagec6.jpg" Id="R75ff2cd64e834158" /><Relationship Type="http://schemas.openxmlformats.org/officeDocument/2006/relationships/image" Target="/media/imagec8.jpg" Id="R5615cf4ecf23407e" /><Relationship Type="http://schemas.openxmlformats.org/officeDocument/2006/relationships/image" Target="/media/imagec9.jpg" Id="R1c33b58843194389" /><Relationship Type="http://schemas.openxmlformats.org/officeDocument/2006/relationships/image" Target="/media/imageca.jpg" Id="R20af4ba41d1a4485" /><Relationship Type="http://schemas.openxmlformats.org/officeDocument/2006/relationships/image" Target="/media/imagecb.jpg" Id="R81e3e1b0d77d4aac" /><Relationship Type="http://schemas.openxmlformats.org/officeDocument/2006/relationships/image" Target="/media/imagecc.jpg" Id="R3612dd1a0cea4980" /><Relationship Type="http://schemas.openxmlformats.org/officeDocument/2006/relationships/image" Target="/media/imagecd.jpg" Id="Re52e7b9c116e49a5" /><Relationship Type="http://schemas.openxmlformats.org/officeDocument/2006/relationships/image" Target="/media/imagece.jpg" Id="Rc28f8583aad14b12" /><Relationship Type="http://schemas.openxmlformats.org/officeDocument/2006/relationships/image" Target="/media/imagecf.jpg" Id="R89f6d06affac47bf" /><Relationship Type="http://schemas.openxmlformats.org/officeDocument/2006/relationships/image" Target="/media/image69.jpg" Id="R5e85dfec60be4b5a" /><Relationship Type="http://schemas.openxmlformats.org/officeDocument/2006/relationships/image" Target="/media/image4a.jpg" Id="R795eaa990e06457a" /><Relationship Type="http://schemas.openxmlformats.org/officeDocument/2006/relationships/image" Target="/media/image6a.jpg" Id="Rc36ddee732644473" /><Relationship Type="http://schemas.openxmlformats.org/officeDocument/2006/relationships/image" Target="/media/image6b.jpg" Id="R708c92bf42284bfd" /><Relationship Type="http://schemas.openxmlformats.org/officeDocument/2006/relationships/image" Target="/media/image6c.jpg" Id="Rcb4de4be873646e0" /><Relationship Type="http://schemas.openxmlformats.org/officeDocument/2006/relationships/image" Target="/media/image46.jpg" Id="R91c3d61a5d104053" /><Relationship Type="http://schemas.openxmlformats.org/officeDocument/2006/relationships/image" Target="/media/image48.jpg" Id="R6ac8a145e07c401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2020-05-13T17:49:48.0559506Z</dcterms:created>
  <dcterms:modified xsi:type="dcterms:W3CDTF">2020-06-16T13:41:51.6903890Z</dcterms:modified>
  <dc:creator>Rotsztain, Jonathan (MGCS)</dc:creator>
  <lastModifiedBy>Rotsztain, Jonathan (MGCS)</lastModifiedBy>
</coreProperties>
</file>