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A045" w14:textId="77777777" w:rsidR="00040B8A" w:rsidRPr="003E05BB" w:rsidRDefault="00040B8A" w:rsidP="00040B8A">
      <w:pPr>
        <w:rPr>
          <w:rFonts w:ascii="Arial" w:hAnsi="Arial" w:cs="Arial"/>
          <w:sz w:val="22"/>
          <w:shd w:val="clear" w:color="auto" w:fill="FFFFFF"/>
        </w:rPr>
      </w:pPr>
      <w:r>
        <w:rPr>
          <w:rFonts w:ascii="Arial" w:hAnsi="Arial"/>
          <w:noProof/>
          <w:lang w:val="fr-FR" w:eastAsia="fr-FR"/>
        </w:rPr>
        <w:drawing>
          <wp:inline distT="0" distB="0" distL="0" distR="0" wp14:anchorId="085A8A08" wp14:editId="146DF893">
            <wp:extent cx="5887707" cy="659130"/>
            <wp:effectExtent l="0" t="0" r="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6327758" cy="708394"/>
                    </a:xfrm>
                    <a:prstGeom prst="rect">
                      <a:avLst/>
                    </a:prstGeom>
                  </pic:spPr>
                </pic:pic>
              </a:graphicData>
            </a:graphic>
          </wp:inline>
        </w:drawing>
      </w:r>
    </w:p>
    <w:p w14:paraId="10AF6836" w14:textId="39AA99CA" w:rsidR="00040B8A" w:rsidRPr="003E05BB" w:rsidRDefault="00040B8A" w:rsidP="00E70B1B">
      <w:pPr>
        <w:spacing w:after="0" w:line="240" w:lineRule="auto"/>
        <w:ind w:left="6120" w:hanging="6120"/>
        <w:rPr>
          <w:rFonts w:ascii="Arial" w:eastAsia="Calibri" w:hAnsi="Arial" w:cs="Arial"/>
          <w:b/>
          <w:iCs/>
          <w:color w:val="615146"/>
          <w:sz w:val="32"/>
        </w:rPr>
      </w:pPr>
      <w:r>
        <w:rPr>
          <w:rFonts w:ascii="Arial" w:hAnsi="Arial"/>
          <w:b/>
          <w:color w:val="615146"/>
          <w:sz w:val="32"/>
        </w:rPr>
        <w:t>Protocole de la salle de lecture</w:t>
      </w:r>
      <w:r>
        <w:rPr>
          <w:rStyle w:val="Heading1Char"/>
          <w:rFonts w:ascii="Arial" w:hAnsi="Arial"/>
          <w:color w:val="615146"/>
          <w:sz w:val="40"/>
        </w:rPr>
        <w:tab/>
      </w:r>
      <w:r>
        <w:rPr>
          <w:rFonts w:ascii="Arial" w:hAnsi="Arial"/>
          <w:b/>
          <w:color w:val="615146"/>
          <w:sz w:val="32"/>
        </w:rPr>
        <w:t>Archives publiques de l’Ontario</w:t>
      </w:r>
    </w:p>
    <w:p w14:paraId="343D9DE2" w14:textId="09D18DCE" w:rsidR="00D47506" w:rsidRPr="00B5639C" w:rsidRDefault="00D47506" w:rsidP="00B5639C">
      <w:pPr>
        <w:spacing w:after="120"/>
        <w:jc w:val="right"/>
        <w:rPr>
          <w:rFonts w:ascii="Arial" w:eastAsia="Calibri" w:hAnsi="Arial" w:cs="Arial"/>
          <w:i/>
          <w:iCs/>
          <w:color w:val="000000"/>
          <w:sz w:val="20"/>
          <w:szCs w:val="20"/>
        </w:rPr>
      </w:pPr>
      <w:bookmarkStart w:id="0" w:name="_Hlk35934015"/>
      <w:r>
        <w:rPr>
          <w:rFonts w:ascii="Arial" w:hAnsi="Arial"/>
          <w:i/>
          <w:color w:val="000000"/>
          <w:sz w:val="22"/>
        </w:rPr>
        <w:br/>
      </w:r>
      <w:r w:rsidR="00D55C6D" w:rsidRPr="00D55C6D">
        <w:rPr>
          <w:rFonts w:ascii="Arial" w:eastAsia="Calibri" w:hAnsi="Arial" w:cs="Arial"/>
          <w:i/>
          <w:iCs/>
          <w:color w:val="000000"/>
          <w:sz w:val="20"/>
          <w:szCs w:val="20"/>
        </w:rPr>
        <w:t>Dernière mise à jour : 21 mars 2022</w:t>
      </w:r>
    </w:p>
    <w:p w14:paraId="3ADEBEC5" w14:textId="256053AF" w:rsidR="00040B8A" w:rsidRPr="003E05BB" w:rsidRDefault="00040B8A" w:rsidP="004E0CE3">
      <w:pPr>
        <w:spacing w:after="120"/>
        <w:rPr>
          <w:rFonts w:ascii="Arial" w:eastAsia="Calibri" w:hAnsi="Arial" w:cs="Arial"/>
          <w:color w:val="000000"/>
          <w:sz w:val="22"/>
        </w:rPr>
      </w:pPr>
      <w:r>
        <w:rPr>
          <w:rFonts w:ascii="Arial" w:hAnsi="Arial"/>
          <w:color w:val="000000"/>
          <w:sz w:val="22"/>
        </w:rPr>
        <w:t>Conformément aux lignes directrices du gouvernement de l’Ontario et des responsables de la santé publique, à compter du 1</w:t>
      </w:r>
      <w:r>
        <w:rPr>
          <w:rFonts w:ascii="Arial" w:hAnsi="Arial"/>
          <w:color w:val="000000"/>
          <w:sz w:val="22"/>
          <w:vertAlign w:val="superscript"/>
        </w:rPr>
        <w:t>er</w:t>
      </w:r>
      <w:r>
        <w:rPr>
          <w:rFonts w:ascii="Arial" w:hAnsi="Arial"/>
          <w:color w:val="000000"/>
          <w:sz w:val="22"/>
        </w:rPr>
        <w:t xml:space="preserve"> novembre 2021, la salle de lecture des Archives publiques de l’Ontario, située au 134, boulevard Ian Macdonald, sera ouverte au public </w:t>
      </w:r>
      <w:r w:rsidR="00E70B1B">
        <w:rPr>
          <w:rFonts w:ascii="Arial" w:hAnsi="Arial"/>
          <w:color w:val="000000"/>
          <w:sz w:val="22"/>
        </w:rPr>
        <w:t>sur</w:t>
      </w:r>
      <w:r>
        <w:rPr>
          <w:rFonts w:ascii="Arial" w:hAnsi="Arial"/>
          <w:color w:val="000000"/>
          <w:sz w:val="22"/>
        </w:rPr>
        <w:t xml:space="preserve"> </w:t>
      </w:r>
      <w:r w:rsidR="00E70B1B">
        <w:rPr>
          <w:rFonts w:ascii="Arial" w:hAnsi="Arial"/>
          <w:b/>
          <w:color w:val="000000"/>
          <w:sz w:val="22"/>
        </w:rPr>
        <w:t>rendez-vous</w:t>
      </w:r>
      <w:r>
        <w:rPr>
          <w:rFonts w:ascii="Arial" w:hAnsi="Arial"/>
          <w:b/>
          <w:color w:val="000000"/>
          <w:sz w:val="22"/>
        </w:rPr>
        <w:t xml:space="preserve"> seulement</w:t>
      </w:r>
      <w:r>
        <w:rPr>
          <w:rFonts w:ascii="Arial" w:hAnsi="Arial"/>
          <w:color w:val="000000"/>
          <w:sz w:val="22"/>
        </w:rPr>
        <w:t xml:space="preserve">. </w:t>
      </w:r>
    </w:p>
    <w:p w14:paraId="0E4952FA" w14:textId="77777777" w:rsidR="00040B8A" w:rsidRPr="00FC51AA" w:rsidRDefault="00040B8A" w:rsidP="009E2ADB">
      <w:pPr>
        <w:spacing w:after="120"/>
        <w:rPr>
          <w:rFonts w:ascii="Arial" w:eastAsia="Calibri" w:hAnsi="Arial" w:cs="Arial"/>
          <w:b/>
          <w:bCs/>
          <w:color w:val="000000"/>
          <w:sz w:val="22"/>
        </w:rPr>
      </w:pPr>
      <w:r>
        <w:rPr>
          <w:rFonts w:ascii="Arial" w:hAnsi="Arial"/>
          <w:b/>
          <w:color w:val="000000"/>
          <w:sz w:val="22"/>
        </w:rPr>
        <w:t>Heures de service :</w:t>
      </w:r>
    </w:p>
    <w:p w14:paraId="2E00F845" w14:textId="77777777" w:rsidR="00040B8A" w:rsidRPr="003E05BB" w:rsidRDefault="00040B8A" w:rsidP="009E2ADB">
      <w:pPr>
        <w:pStyle w:val="ListParagraph"/>
        <w:numPr>
          <w:ilvl w:val="0"/>
          <w:numId w:val="2"/>
        </w:numPr>
        <w:spacing w:before="120" w:after="120"/>
        <w:rPr>
          <w:rFonts w:ascii="Arial" w:eastAsia="Calibri" w:hAnsi="Arial" w:cs="Arial"/>
          <w:color w:val="000000"/>
          <w:sz w:val="22"/>
        </w:rPr>
      </w:pPr>
      <w:r>
        <w:rPr>
          <w:rFonts w:ascii="Arial" w:hAnsi="Arial"/>
          <w:color w:val="000000"/>
          <w:sz w:val="22"/>
        </w:rPr>
        <w:t xml:space="preserve">Du lundi au vendredi </w:t>
      </w:r>
    </w:p>
    <w:p w14:paraId="7641326D" w14:textId="77777777" w:rsidR="00040B8A" w:rsidRDefault="00500515" w:rsidP="00500515">
      <w:pPr>
        <w:pStyle w:val="ListParagraph"/>
        <w:numPr>
          <w:ilvl w:val="0"/>
          <w:numId w:val="2"/>
        </w:numPr>
        <w:spacing w:before="120" w:after="120"/>
        <w:rPr>
          <w:rFonts w:ascii="Arial" w:eastAsia="Calibri" w:hAnsi="Arial" w:cs="Arial"/>
          <w:color w:val="000000"/>
          <w:sz w:val="22"/>
        </w:rPr>
      </w:pPr>
      <w:r>
        <w:rPr>
          <w:rFonts w:ascii="Arial" w:hAnsi="Arial"/>
          <w:color w:val="000000"/>
          <w:sz w:val="22"/>
        </w:rPr>
        <w:t xml:space="preserve">De 9 h à 16 h </w:t>
      </w:r>
    </w:p>
    <w:p w14:paraId="3E3864C0" w14:textId="77777777" w:rsidR="009E2ADB" w:rsidRPr="009E2ADB" w:rsidRDefault="00500515" w:rsidP="009E2ADB">
      <w:pPr>
        <w:pStyle w:val="ListParagraph"/>
        <w:numPr>
          <w:ilvl w:val="1"/>
          <w:numId w:val="2"/>
        </w:numPr>
        <w:spacing w:before="120" w:after="120"/>
        <w:rPr>
          <w:rFonts w:ascii="Arial" w:eastAsia="Calibri" w:hAnsi="Arial" w:cs="Arial"/>
          <w:color w:val="000000"/>
          <w:sz w:val="22"/>
        </w:rPr>
      </w:pPr>
      <w:r>
        <w:rPr>
          <w:rFonts w:ascii="Arial" w:hAnsi="Arial"/>
          <w:color w:val="000000"/>
          <w:sz w:val="22"/>
        </w:rPr>
        <w:t xml:space="preserve">Pour assurer la sécurité de tous, la salle de lecture sera </w:t>
      </w:r>
      <w:r>
        <w:rPr>
          <w:rFonts w:ascii="Arial" w:hAnsi="Arial"/>
          <w:b/>
          <w:color w:val="000000"/>
          <w:sz w:val="22"/>
        </w:rPr>
        <w:t>fermée de midi à 13 h</w:t>
      </w:r>
      <w:r>
        <w:rPr>
          <w:rFonts w:ascii="Arial" w:hAnsi="Arial"/>
          <w:color w:val="000000"/>
          <w:sz w:val="22"/>
        </w:rPr>
        <w:t xml:space="preserve"> pour un nettoyage complet des postes de travail et des lecteurs de microfilms entre les rendez-vous.</w:t>
      </w:r>
    </w:p>
    <w:p w14:paraId="147DFBFC" w14:textId="77777777" w:rsidR="00B5639C" w:rsidRDefault="00040B8A" w:rsidP="00B5639C">
      <w:pPr>
        <w:spacing w:after="120"/>
        <w:rPr>
          <w:rFonts w:ascii="Arial" w:hAnsi="Arial" w:cs="Arial"/>
          <w:b/>
          <w:color w:val="615146"/>
          <w:sz w:val="32"/>
        </w:rPr>
      </w:pPr>
      <w:r>
        <w:rPr>
          <w:rFonts w:ascii="Arial" w:hAnsi="Arial"/>
          <w:b/>
          <w:color w:val="615146"/>
          <w:sz w:val="32"/>
        </w:rPr>
        <w:t>Avant votre visite</w:t>
      </w:r>
      <w:bookmarkStart w:id="1" w:name="_Hlk35777069"/>
      <w:bookmarkEnd w:id="1"/>
    </w:p>
    <w:p w14:paraId="4038AB0B" w14:textId="77777777" w:rsidR="00040B8A" w:rsidRPr="002C1D7E" w:rsidRDefault="00040B8A" w:rsidP="00B5639C">
      <w:pPr>
        <w:spacing w:after="120"/>
        <w:rPr>
          <w:rFonts w:ascii="Arial" w:hAnsi="Arial" w:cs="Arial"/>
          <w:b/>
          <w:color w:val="615146"/>
          <w:sz w:val="22"/>
        </w:rPr>
      </w:pPr>
      <w:r w:rsidRPr="002C1D7E">
        <w:rPr>
          <w:rFonts w:ascii="Arial" w:hAnsi="Arial"/>
          <w:i/>
          <w:color w:val="000000"/>
          <w:sz w:val="22"/>
        </w:rPr>
        <w:t>Si vous présentez des symptômes de la COVID-19 ou si vous avez été récemment en contact avec une personne ayant reçu un résultat positif au test de dépistage de la COVID-19, nous vous demandons de vous abstenir de vous présenter aux Archives publiques de l’Ontario.</w:t>
      </w:r>
    </w:p>
    <w:p w14:paraId="59069D2F" w14:textId="77777777" w:rsidR="00040B8A" w:rsidRPr="002C1D7E" w:rsidRDefault="00040B8A" w:rsidP="00040B8A">
      <w:pPr>
        <w:spacing w:after="0"/>
        <w:rPr>
          <w:rFonts w:ascii="Arial" w:eastAsia="Calibri" w:hAnsi="Arial" w:cs="Arial"/>
          <w:color w:val="000000"/>
          <w:sz w:val="22"/>
        </w:rPr>
      </w:pPr>
      <w:r w:rsidRPr="002C1D7E">
        <w:rPr>
          <w:rFonts w:ascii="Arial" w:hAnsi="Arial"/>
          <w:color w:val="000000"/>
          <w:sz w:val="22"/>
        </w:rPr>
        <w:t>Avant d’envisager de vous présenter à la salle de lecture, assurez-vous d’avoir fait ce qui suit :</w:t>
      </w:r>
    </w:p>
    <w:p w14:paraId="6DC90C42" w14:textId="77777777" w:rsidR="00040B8A" w:rsidRPr="002C1D7E" w:rsidRDefault="00040B8A" w:rsidP="00040B8A">
      <w:pPr>
        <w:spacing w:after="0"/>
        <w:rPr>
          <w:rFonts w:ascii="Arial" w:eastAsia="Calibri" w:hAnsi="Arial" w:cs="Arial"/>
          <w:color w:val="000000"/>
          <w:sz w:val="22"/>
        </w:rPr>
      </w:pPr>
    </w:p>
    <w:p w14:paraId="0E8D7A23" w14:textId="77777777" w:rsidR="006B16B8" w:rsidRPr="002C1D7E" w:rsidRDefault="006B16B8" w:rsidP="006B16B8">
      <w:pPr>
        <w:numPr>
          <w:ilvl w:val="0"/>
          <w:numId w:val="1"/>
        </w:numPr>
        <w:spacing w:after="0"/>
        <w:rPr>
          <w:rFonts w:ascii="Arial" w:eastAsia="Times New Roman" w:hAnsi="Arial" w:cs="Arial"/>
          <w:sz w:val="22"/>
        </w:rPr>
      </w:pPr>
      <w:r w:rsidRPr="002C1D7E">
        <w:rPr>
          <w:rFonts w:ascii="Arial" w:eastAsia="Times New Roman" w:hAnsi="Arial" w:cs="Arial"/>
          <w:sz w:val="22"/>
        </w:rPr>
        <w:t>Vous avez précommandé tout matériau requis originaux</w:t>
      </w:r>
    </w:p>
    <w:p w14:paraId="649358DE" w14:textId="77777777" w:rsidR="006B16B8" w:rsidRPr="002C1D7E" w:rsidRDefault="006B16B8" w:rsidP="006B16B8">
      <w:pPr>
        <w:numPr>
          <w:ilvl w:val="1"/>
          <w:numId w:val="1"/>
        </w:numPr>
        <w:spacing w:after="0"/>
        <w:rPr>
          <w:rFonts w:ascii="Arial" w:eastAsia="Times New Roman" w:hAnsi="Arial" w:cs="Arial"/>
          <w:sz w:val="22"/>
        </w:rPr>
      </w:pPr>
      <w:r w:rsidRPr="002C1D7E">
        <w:rPr>
          <w:rFonts w:ascii="Arial" w:eastAsia="Times New Roman" w:hAnsi="Arial" w:cs="Arial"/>
          <w:sz w:val="22"/>
        </w:rPr>
        <w:t>Des Archivistes en référence sont aussi disponible pour un entrevu avant votre visite, durant lequel ils peuvent vous aidez à commander des records et vous préparer face à visiter les Archives.</w:t>
      </w:r>
    </w:p>
    <w:p w14:paraId="6938A164" w14:textId="2C958F83" w:rsidR="00040B8A" w:rsidRPr="002C1D7E" w:rsidRDefault="00040B8A" w:rsidP="00040B8A">
      <w:pPr>
        <w:numPr>
          <w:ilvl w:val="0"/>
          <w:numId w:val="1"/>
        </w:numPr>
        <w:spacing w:before="120" w:after="120"/>
        <w:contextualSpacing/>
        <w:rPr>
          <w:rFonts w:ascii="Arial" w:eastAsia="Calibri" w:hAnsi="Arial" w:cs="Arial"/>
          <w:color w:val="000000"/>
          <w:sz w:val="22"/>
        </w:rPr>
      </w:pPr>
      <w:r w:rsidRPr="002C1D7E">
        <w:rPr>
          <w:rFonts w:ascii="Arial" w:hAnsi="Arial"/>
          <w:color w:val="000000"/>
          <w:sz w:val="22"/>
        </w:rPr>
        <w:t xml:space="preserve">Avoir pris un rendez-vous. </w:t>
      </w:r>
    </w:p>
    <w:p w14:paraId="00AF5927" w14:textId="1AD10914" w:rsidR="006B16B8" w:rsidRPr="002C1D7E" w:rsidRDefault="006B16B8" w:rsidP="006B16B8">
      <w:pPr>
        <w:pStyle w:val="ListParagraph"/>
        <w:numPr>
          <w:ilvl w:val="1"/>
          <w:numId w:val="1"/>
        </w:numPr>
        <w:spacing w:before="120" w:after="120"/>
        <w:rPr>
          <w:rFonts w:ascii="Arial" w:hAnsi="Arial" w:cs="Arial"/>
          <w:sz w:val="22"/>
        </w:rPr>
      </w:pPr>
      <w:r w:rsidRPr="002C1D7E">
        <w:rPr>
          <w:rFonts w:ascii="Arial" w:hAnsi="Arial"/>
          <w:sz w:val="22"/>
        </w:rPr>
        <w:t xml:space="preserve">Notre </w:t>
      </w:r>
      <w:hyperlink r:id="rId12" w:history="1">
        <w:r w:rsidRPr="002C1D7E">
          <w:rPr>
            <w:rStyle w:val="Hyperlink"/>
            <w:rFonts w:ascii="Arial" w:hAnsi="Arial"/>
            <w:b/>
            <w:sz w:val="22"/>
          </w:rPr>
          <w:t>nouvel outil d’inscription en ligne</w:t>
        </w:r>
      </w:hyperlink>
      <w:r w:rsidRPr="002C1D7E">
        <w:rPr>
          <w:rFonts w:ascii="Arial" w:hAnsi="Arial"/>
          <w:color w:val="5F5F5F" w:themeColor="accent5"/>
          <w:sz w:val="22"/>
        </w:rPr>
        <w:t xml:space="preserve"> </w:t>
      </w:r>
      <w:r w:rsidRPr="002C1D7E">
        <w:rPr>
          <w:rFonts w:ascii="Arial" w:hAnsi="Arial"/>
          <w:sz w:val="22"/>
        </w:rPr>
        <w:t xml:space="preserve">garantira la protection de votre santé et votre sécurité et vous permettra de passer moins de temps à attendre et plus de temps à faire des recherches! </w:t>
      </w:r>
    </w:p>
    <w:p w14:paraId="3B3837F3" w14:textId="28E00E4C" w:rsidR="004B5417" w:rsidRPr="002C1D7E" w:rsidRDefault="00A97F92" w:rsidP="00D3117B">
      <w:pPr>
        <w:spacing w:before="120" w:after="120"/>
        <w:contextualSpacing/>
        <w:rPr>
          <w:rFonts w:ascii="Arial" w:hAnsi="Arial" w:cs="Arial"/>
          <w:sz w:val="22"/>
        </w:rPr>
      </w:pPr>
      <w:r w:rsidRPr="002C1D7E">
        <w:rPr>
          <w:rFonts w:ascii="Arial" w:hAnsi="Arial"/>
          <w:sz w:val="22"/>
        </w:rPr>
        <w:t xml:space="preserve">Pour plus d’information sur la préparation à une visite, veuillez consulter notre site Web </w:t>
      </w:r>
      <w:hyperlink r:id="rId13" w:tooltip="Cliquez ici pour consulter le site Web des Archives publiques." w:history="1">
        <w:r w:rsidRPr="002C1D7E">
          <w:rPr>
            <w:rStyle w:val="Hyperlink"/>
            <w:rFonts w:ascii="Arial" w:hAnsi="Arial"/>
            <w:sz w:val="22"/>
          </w:rPr>
          <w:t>ontario.ca/archives</w:t>
        </w:r>
      </w:hyperlink>
      <w:r w:rsidRPr="002C1D7E">
        <w:rPr>
          <w:rFonts w:ascii="Arial" w:hAnsi="Arial"/>
          <w:sz w:val="22"/>
        </w:rPr>
        <w:t xml:space="preserve">. </w:t>
      </w:r>
    </w:p>
    <w:p w14:paraId="5EDB5923" w14:textId="77777777" w:rsidR="009E2ADB" w:rsidRPr="009E2ADB" w:rsidRDefault="009E2ADB" w:rsidP="009E2ADB">
      <w:pPr>
        <w:spacing w:before="120" w:after="240"/>
        <w:contextualSpacing/>
        <w:rPr>
          <w:rFonts w:ascii="Arial" w:eastAsia="Calibri" w:hAnsi="Arial" w:cs="Arial"/>
          <w:color w:val="000000"/>
          <w:sz w:val="22"/>
        </w:rPr>
      </w:pPr>
    </w:p>
    <w:p w14:paraId="1FF786E2" w14:textId="77777777" w:rsidR="00B5639C" w:rsidRDefault="00040B8A" w:rsidP="00B5639C">
      <w:pPr>
        <w:spacing w:after="120"/>
        <w:rPr>
          <w:rFonts w:ascii="Arial" w:hAnsi="Arial" w:cs="Arial"/>
          <w:b/>
          <w:color w:val="615146"/>
          <w:sz w:val="32"/>
        </w:rPr>
      </w:pPr>
      <w:r>
        <w:rPr>
          <w:rFonts w:ascii="Arial" w:hAnsi="Arial"/>
          <w:b/>
          <w:color w:val="615146"/>
          <w:sz w:val="32"/>
        </w:rPr>
        <w:t>À votre arrivée</w:t>
      </w:r>
    </w:p>
    <w:p w14:paraId="672C4EE6" w14:textId="5575B112" w:rsidR="001A58A1" w:rsidRPr="001A58A1" w:rsidRDefault="001A58A1" w:rsidP="009E2ADB">
      <w:pPr>
        <w:spacing w:after="120"/>
        <w:rPr>
          <w:rFonts w:ascii="Arial" w:hAnsi="Arial" w:cs="Arial"/>
          <w:bCs/>
          <w:sz w:val="22"/>
        </w:rPr>
      </w:pPr>
      <w:r w:rsidRPr="001A58A1">
        <w:rPr>
          <w:rFonts w:ascii="Arial" w:hAnsi="Arial" w:cs="Arial"/>
          <w:bCs/>
          <w:sz w:val="22"/>
        </w:rPr>
        <w:t xml:space="preserve">À compter du 21 mars 2022, les modifications apportées aux mesures de santé publique et de </w:t>
      </w:r>
      <w:proofErr w:type="gramStart"/>
      <w:r w:rsidRPr="001A58A1">
        <w:rPr>
          <w:rFonts w:ascii="Arial" w:hAnsi="Arial" w:cs="Arial"/>
          <w:bCs/>
          <w:sz w:val="22"/>
        </w:rPr>
        <w:t>sécurité</w:t>
      </w:r>
      <w:proofErr w:type="gramEnd"/>
      <w:r w:rsidRPr="001A58A1">
        <w:rPr>
          <w:rFonts w:ascii="Arial" w:hAnsi="Arial" w:cs="Arial"/>
          <w:bCs/>
          <w:sz w:val="22"/>
        </w:rPr>
        <w:t xml:space="preserve"> au travail de l'Ontario comprennent la levée des exigences relatives au port des </w:t>
      </w:r>
      <w:r w:rsidRPr="001A58A1">
        <w:rPr>
          <w:rFonts w:ascii="Arial" w:hAnsi="Arial" w:cs="Arial"/>
          <w:bCs/>
          <w:sz w:val="22"/>
        </w:rPr>
        <w:lastRenderedPageBreak/>
        <w:t>masques. Cela signifie que le port du masque ou du couvre-visage dans notre bâtiment sera maintenant facultatif, y compris dans la salle de lecture.</w:t>
      </w:r>
    </w:p>
    <w:p w14:paraId="36E53669" w14:textId="0F0CFA3F" w:rsidR="002F0BDF" w:rsidRPr="002C1D7E" w:rsidRDefault="009A45B8" w:rsidP="00040B8A">
      <w:pPr>
        <w:spacing w:before="120" w:after="120"/>
        <w:contextualSpacing/>
        <w:rPr>
          <w:rFonts w:ascii="Arial" w:eastAsia="Calibri" w:hAnsi="Arial" w:cs="Arial"/>
          <w:color w:val="000000"/>
          <w:sz w:val="22"/>
        </w:rPr>
      </w:pPr>
      <w:r w:rsidRPr="002C1D7E">
        <w:rPr>
          <w:rFonts w:ascii="Arial" w:hAnsi="Arial"/>
          <w:color w:val="000000"/>
          <w:sz w:val="22"/>
        </w:rPr>
        <w:t xml:space="preserve">À votre entrée dans le bâtiment, </w:t>
      </w:r>
      <w:r w:rsidR="00E70B1B" w:rsidRPr="002C1D7E">
        <w:rPr>
          <w:rFonts w:ascii="Arial" w:hAnsi="Arial"/>
          <w:color w:val="000000"/>
          <w:sz w:val="22"/>
        </w:rPr>
        <w:t>le</w:t>
      </w:r>
      <w:r w:rsidRPr="002C1D7E">
        <w:rPr>
          <w:rFonts w:ascii="Arial" w:hAnsi="Arial"/>
          <w:color w:val="000000"/>
          <w:sz w:val="22"/>
        </w:rPr>
        <w:t xml:space="preserve"> personnel du comptoir d’accueil </w:t>
      </w:r>
      <w:r w:rsidR="00E70B1B" w:rsidRPr="002C1D7E">
        <w:rPr>
          <w:rFonts w:ascii="Arial" w:hAnsi="Arial"/>
          <w:color w:val="000000"/>
          <w:sz w:val="22"/>
        </w:rPr>
        <w:t xml:space="preserve">vous accueillera </w:t>
      </w:r>
      <w:r w:rsidRPr="002C1D7E">
        <w:rPr>
          <w:rFonts w:ascii="Arial" w:hAnsi="Arial"/>
          <w:color w:val="000000"/>
          <w:sz w:val="22"/>
        </w:rPr>
        <w:t>derrière une barrière en plexiglas</w:t>
      </w:r>
      <w:r w:rsidR="00495F25">
        <w:rPr>
          <w:rFonts w:ascii="Arial" w:hAnsi="Arial"/>
          <w:color w:val="000000"/>
          <w:sz w:val="22"/>
        </w:rPr>
        <w:t>.</w:t>
      </w:r>
      <w:r w:rsidRPr="002C1D7E">
        <w:rPr>
          <w:rFonts w:ascii="Arial" w:hAnsi="Arial"/>
          <w:color w:val="000000"/>
          <w:sz w:val="22"/>
        </w:rPr>
        <w:t xml:space="preserve"> </w:t>
      </w:r>
    </w:p>
    <w:p w14:paraId="23A49827" w14:textId="77777777" w:rsidR="0004227F" w:rsidRDefault="0004227F" w:rsidP="002F0BDF">
      <w:pPr>
        <w:spacing w:before="120" w:after="120"/>
        <w:contextualSpacing/>
        <w:rPr>
          <w:rFonts w:ascii="Arial" w:eastAsia="Calibri" w:hAnsi="Arial" w:cs="Arial"/>
          <w:color w:val="000000"/>
          <w:sz w:val="22"/>
        </w:rPr>
      </w:pPr>
    </w:p>
    <w:p w14:paraId="4F881C38" w14:textId="1FD0ADB4" w:rsidR="00040B8A" w:rsidRPr="002C1D7E" w:rsidRDefault="00040B8A" w:rsidP="002F0BDF">
      <w:pPr>
        <w:spacing w:before="120" w:after="120"/>
        <w:contextualSpacing/>
        <w:rPr>
          <w:rFonts w:ascii="Arial" w:eastAsia="Calibri" w:hAnsi="Arial" w:cs="Arial"/>
          <w:color w:val="000000"/>
          <w:sz w:val="22"/>
        </w:rPr>
      </w:pPr>
      <w:r w:rsidRPr="002C1D7E">
        <w:rPr>
          <w:rFonts w:ascii="Arial" w:hAnsi="Arial"/>
          <w:color w:val="000000"/>
          <w:sz w:val="22"/>
        </w:rPr>
        <w:t>Si vous êtes déjà inscrit en tant que chercheur, vous serez invité à scanner votre carte d’inscription</w:t>
      </w:r>
      <w:r w:rsidR="00F32AE6" w:rsidRPr="002C1D7E">
        <w:rPr>
          <w:rFonts w:ascii="Arial" w:hAnsi="Arial" w:cs="Arial"/>
          <w:color w:val="000000"/>
          <w:sz w:val="22"/>
        </w:rPr>
        <w:t>—</w:t>
      </w:r>
      <w:r w:rsidRPr="002C1D7E">
        <w:rPr>
          <w:rFonts w:ascii="Arial" w:hAnsi="Arial"/>
          <w:color w:val="000000"/>
          <w:sz w:val="22"/>
        </w:rPr>
        <w:t>chercheur (chercheuse)</w:t>
      </w:r>
      <w:r w:rsidR="00F32AE6" w:rsidRPr="002C1D7E">
        <w:rPr>
          <w:rFonts w:ascii="Arial" w:hAnsi="Arial" w:cs="Arial"/>
          <w:color w:val="000000"/>
          <w:sz w:val="22"/>
        </w:rPr>
        <w:t>—</w:t>
      </w:r>
      <w:r w:rsidRPr="002C1D7E">
        <w:rPr>
          <w:rFonts w:ascii="Arial" w:hAnsi="Arial"/>
          <w:color w:val="000000"/>
          <w:sz w:val="22"/>
        </w:rPr>
        <w:t xml:space="preserve">des Archives publiques de l’Ontario. Si vous n’êtes pas inscrit en tant que chercheur, vous pouvez vous inscrire auprès du personnel du comptoir d’accueil. Pour réduire le temps d’attente à l’inscription, nous vous recommandons </w:t>
      </w:r>
      <w:r w:rsidRPr="002C1D7E">
        <w:rPr>
          <w:rFonts w:ascii="Arial" w:hAnsi="Arial"/>
          <w:b/>
          <w:sz w:val="22"/>
        </w:rPr>
        <w:t>de vous inscrire en ligne à l’avance</w:t>
      </w:r>
      <w:r w:rsidRPr="002C1D7E">
        <w:rPr>
          <w:rStyle w:val="Hyperlink"/>
          <w:rFonts w:ascii="Arial" w:hAnsi="Arial"/>
          <w:b/>
          <w:sz w:val="22"/>
          <w:u w:val="none"/>
        </w:rPr>
        <w:t xml:space="preserve"> </w:t>
      </w:r>
      <w:r w:rsidRPr="002C1D7E">
        <w:rPr>
          <w:rStyle w:val="Hyperlink"/>
          <w:rFonts w:ascii="Arial" w:hAnsi="Arial"/>
          <w:color w:val="auto"/>
          <w:sz w:val="22"/>
          <w:u w:val="none"/>
        </w:rPr>
        <w:t xml:space="preserve">à </w:t>
      </w:r>
      <w:hyperlink r:id="rId14" w:tooltip="Cliquez ici pour vous inscrire à l’avance sur le site Web des Archives." w:history="1">
        <w:r w:rsidRPr="002C1D7E">
          <w:rPr>
            <w:rStyle w:val="Hyperlink"/>
            <w:rFonts w:ascii="Arial" w:hAnsi="Arial"/>
            <w:sz w:val="22"/>
          </w:rPr>
          <w:t>http://www.archives.gov.on.ca/fr/about/prepare.aspx</w:t>
        </w:r>
      </w:hyperlink>
      <w:r w:rsidRPr="002C1D7E">
        <w:rPr>
          <w:rStyle w:val="Hyperlink"/>
          <w:rFonts w:ascii="Arial" w:hAnsi="Arial"/>
          <w:sz w:val="22"/>
        </w:rPr>
        <w:t xml:space="preserve">. </w:t>
      </w:r>
    </w:p>
    <w:p w14:paraId="33AF69BC" w14:textId="77777777" w:rsidR="002F0BDF" w:rsidRPr="002C1D7E" w:rsidRDefault="002F0BDF" w:rsidP="002F0BDF">
      <w:pPr>
        <w:spacing w:before="120" w:after="120"/>
        <w:contextualSpacing/>
        <w:rPr>
          <w:rFonts w:ascii="Arial" w:eastAsia="Calibri" w:hAnsi="Arial" w:cs="Arial"/>
          <w:color w:val="000000"/>
          <w:sz w:val="22"/>
        </w:rPr>
      </w:pPr>
    </w:p>
    <w:p w14:paraId="6B781F85" w14:textId="194DC91A" w:rsidR="00A511CD" w:rsidRPr="002C1D7E" w:rsidRDefault="00BE7D82" w:rsidP="00A511CD">
      <w:pPr>
        <w:spacing w:before="120" w:after="240"/>
        <w:rPr>
          <w:rFonts w:ascii="Arial" w:eastAsia="Calibri" w:hAnsi="Arial" w:cs="Arial"/>
          <w:color w:val="000000"/>
          <w:sz w:val="22"/>
        </w:rPr>
      </w:pPr>
      <w:r w:rsidRPr="002C1D7E">
        <w:rPr>
          <w:rFonts w:ascii="Arial" w:hAnsi="Arial"/>
          <w:color w:val="000000"/>
          <w:sz w:val="22"/>
        </w:rPr>
        <w:t>Une fois l’inscription effectuée, le personnel du comptoir d’accueil vous remettra une clé de casier et vous dirigera vers le salon pour visiteurs où vous pourrez ranger vos effets personnels dans le casier qui vous aura été attribué. Avant votre entrée dans la salle de lecture, le personnel du comptoir d’accueil confirmera également le numéro du poste de travail ou de lecteur de microfilms qui vous a été attribué.</w:t>
      </w:r>
    </w:p>
    <w:p w14:paraId="7A5E236E" w14:textId="77777777" w:rsidR="00B5639C" w:rsidRDefault="00040B8A" w:rsidP="00B5639C">
      <w:pPr>
        <w:spacing w:after="120"/>
        <w:rPr>
          <w:rFonts w:ascii="Arial" w:hAnsi="Arial" w:cs="Arial"/>
          <w:b/>
          <w:color w:val="615146"/>
          <w:sz w:val="32"/>
        </w:rPr>
      </w:pPr>
      <w:r>
        <w:rPr>
          <w:rFonts w:ascii="Arial" w:hAnsi="Arial"/>
          <w:b/>
          <w:color w:val="615146"/>
          <w:sz w:val="32"/>
        </w:rPr>
        <w:t>Pendant votre visite</w:t>
      </w:r>
    </w:p>
    <w:p w14:paraId="08822561" w14:textId="70C646B5" w:rsidR="00040B8A" w:rsidRPr="00B5639C" w:rsidRDefault="00040B8A" w:rsidP="00B5639C">
      <w:pPr>
        <w:spacing w:after="120"/>
        <w:rPr>
          <w:rFonts w:ascii="Arial" w:hAnsi="Arial" w:cs="Arial"/>
          <w:b/>
          <w:color w:val="615146"/>
          <w:sz w:val="32"/>
        </w:rPr>
      </w:pPr>
      <w:r>
        <w:rPr>
          <w:rFonts w:ascii="Arial" w:hAnsi="Arial"/>
          <w:color w:val="000000"/>
          <w:sz w:val="22"/>
        </w:rPr>
        <w:t xml:space="preserve">À votre entrée dans la salle de lecture, repérez le poste de travail ou le lecteur de microfilms qui vous a été attribué. Un archiviste de référence sera disponible pour vous aider, au besoin. </w:t>
      </w:r>
    </w:p>
    <w:p w14:paraId="03E0BBCE" w14:textId="77777777" w:rsidR="00040B8A" w:rsidRPr="00B5639C" w:rsidRDefault="00945675" w:rsidP="00040B8A">
      <w:pPr>
        <w:spacing w:before="120" w:after="120"/>
        <w:rPr>
          <w:rFonts w:ascii="Arial" w:eastAsia="Calibri" w:hAnsi="Arial" w:cs="Arial"/>
          <w:b/>
          <w:bCs/>
          <w:color w:val="000000"/>
          <w:szCs w:val="24"/>
        </w:rPr>
      </w:pPr>
      <w:r>
        <w:rPr>
          <w:rFonts w:ascii="Arial" w:hAnsi="Arial"/>
          <w:b/>
          <w:color w:val="000000"/>
        </w:rPr>
        <w:t>Consultation de matériel commandé à l’avance</w:t>
      </w:r>
      <w:r>
        <w:rPr>
          <w:rFonts w:ascii="Arial" w:hAnsi="Arial"/>
          <w:b/>
          <w:color w:val="000000"/>
        </w:rPr>
        <w:br/>
      </w:r>
      <w:r>
        <w:rPr>
          <w:rFonts w:ascii="Arial" w:hAnsi="Arial"/>
          <w:color w:val="000000"/>
          <w:sz w:val="22"/>
        </w:rPr>
        <w:t xml:space="preserve">Si vous avez commandé des documents à l’avance, ils seront déjà à votre poste de travail. Pour assurer la manipulation sans risque des documents, des gants sont mis à votre disposition. </w:t>
      </w:r>
    </w:p>
    <w:p w14:paraId="5F917ED6" w14:textId="77777777" w:rsidR="00040B8A" w:rsidRPr="00B5639C" w:rsidRDefault="00945675" w:rsidP="00040B8A">
      <w:pPr>
        <w:spacing w:before="120" w:after="120"/>
        <w:rPr>
          <w:rFonts w:ascii="Arial" w:eastAsia="Calibri" w:hAnsi="Arial" w:cs="Arial"/>
          <w:b/>
          <w:bCs/>
          <w:color w:val="000000"/>
          <w:szCs w:val="24"/>
        </w:rPr>
      </w:pPr>
      <w:r>
        <w:rPr>
          <w:rFonts w:ascii="Arial" w:hAnsi="Arial"/>
          <w:b/>
          <w:color w:val="000000"/>
        </w:rPr>
        <w:t>Consultation des microfilms en libre-service</w:t>
      </w:r>
      <w:r>
        <w:rPr>
          <w:rFonts w:ascii="Arial" w:hAnsi="Arial"/>
          <w:b/>
          <w:color w:val="000000"/>
        </w:rPr>
        <w:br/>
      </w:r>
      <w:r>
        <w:rPr>
          <w:rFonts w:ascii="Arial" w:hAnsi="Arial"/>
          <w:color w:val="000000"/>
          <w:sz w:val="22"/>
        </w:rPr>
        <w:t xml:space="preserve">Si vous souhaitez consulter nos microfilms en libre-service, veuillez le faire au lecteur de microfilms qui vous a été attribué. Si vous avez besoin d’aide pour utiliser le lecteur de microfilms, un archiviste de référence pourra vous aider. </w:t>
      </w:r>
      <w:r>
        <w:rPr>
          <w:rFonts w:ascii="Arial" w:hAnsi="Arial"/>
          <w:b/>
          <w:color w:val="000000"/>
          <w:sz w:val="22"/>
        </w:rPr>
        <w:t>Veuillez ne pas reclasser les bobines de microfilm</w:t>
      </w:r>
      <w:r>
        <w:rPr>
          <w:rFonts w:ascii="Arial" w:hAnsi="Arial"/>
          <w:color w:val="000000"/>
          <w:sz w:val="22"/>
        </w:rPr>
        <w:t xml:space="preserve">. Lorsque vous avez terminé, placez toutes les bobines de microfilm dans le contenant des </w:t>
      </w:r>
      <w:r>
        <w:rPr>
          <w:rFonts w:ascii="Arial" w:hAnsi="Arial"/>
          <w:i/>
          <w:color w:val="000000"/>
          <w:sz w:val="22"/>
        </w:rPr>
        <w:t>bobines de microfilm à reclasser</w:t>
      </w:r>
      <w:r>
        <w:rPr>
          <w:rFonts w:ascii="Arial" w:hAnsi="Arial"/>
          <w:color w:val="000000"/>
          <w:sz w:val="22"/>
        </w:rPr>
        <w:t>.</w:t>
      </w:r>
    </w:p>
    <w:p w14:paraId="6BBBD000" w14:textId="77777777" w:rsidR="00040B8A" w:rsidRPr="00B5639C" w:rsidRDefault="00945675" w:rsidP="00040B8A">
      <w:pPr>
        <w:spacing w:before="120" w:after="120"/>
        <w:rPr>
          <w:rFonts w:ascii="Arial" w:eastAsia="Calibri" w:hAnsi="Arial" w:cs="Arial"/>
          <w:b/>
          <w:bCs/>
          <w:color w:val="000000"/>
          <w:szCs w:val="24"/>
        </w:rPr>
      </w:pPr>
      <w:r>
        <w:rPr>
          <w:rFonts w:ascii="Arial" w:hAnsi="Arial"/>
          <w:b/>
          <w:color w:val="000000"/>
        </w:rPr>
        <w:t>Consultation des instruments de recherche et des ressources documentaires imprimés</w:t>
      </w:r>
      <w:r>
        <w:rPr>
          <w:rFonts w:ascii="Arial" w:hAnsi="Arial"/>
          <w:b/>
          <w:color w:val="000000"/>
        </w:rPr>
        <w:br/>
      </w:r>
      <w:r>
        <w:rPr>
          <w:rFonts w:ascii="Arial" w:hAnsi="Arial"/>
          <w:color w:val="000000"/>
          <w:sz w:val="22"/>
        </w:rPr>
        <w:t xml:space="preserve">Si vous consultez nos instruments de recherche et classeurs, </w:t>
      </w:r>
      <w:r>
        <w:rPr>
          <w:rFonts w:ascii="Arial" w:hAnsi="Arial"/>
          <w:b/>
          <w:color w:val="000000"/>
          <w:sz w:val="22"/>
        </w:rPr>
        <w:t>veuillez ne pas les reclasser</w:t>
      </w:r>
      <w:r>
        <w:rPr>
          <w:rFonts w:ascii="Arial" w:hAnsi="Arial"/>
          <w:color w:val="000000"/>
          <w:sz w:val="22"/>
        </w:rPr>
        <w:t>. Placez les articles utilisés sur la table la plus proche afin qu’ils puissent être désinfectés avant d’être reclassés.</w:t>
      </w:r>
      <w:bookmarkStart w:id="2" w:name="_Hlk35357736"/>
      <w:bookmarkEnd w:id="2"/>
    </w:p>
    <w:p w14:paraId="1F277E4C" w14:textId="65AB9B61" w:rsidR="00500515" w:rsidRPr="00B5639C" w:rsidRDefault="00500515" w:rsidP="00B40607">
      <w:pPr>
        <w:rPr>
          <w:b/>
          <w:bCs/>
        </w:rPr>
      </w:pPr>
      <w:r>
        <w:rPr>
          <w:b/>
        </w:rPr>
        <w:t xml:space="preserve">Utilisation du salon </w:t>
      </w:r>
      <w:r w:rsidR="00E70B1B">
        <w:rPr>
          <w:b/>
        </w:rPr>
        <w:t>des</w:t>
      </w:r>
      <w:r>
        <w:rPr>
          <w:b/>
        </w:rPr>
        <w:t xml:space="preserve"> visiteurs</w:t>
      </w:r>
      <w:r>
        <w:rPr>
          <w:b/>
        </w:rPr>
        <w:br/>
      </w:r>
      <w:r>
        <w:rPr>
          <w:sz w:val="22"/>
        </w:rPr>
        <w:t>Lorsque les visiteurs utilisent le salon, ils sont priés de se conformer à tous les autocollants au sol et à la signalisation affichée. Les tables et les chaises ne doivent pas être déplacées. Pour assurer votre sécurité, les installations supplémentaires</w:t>
      </w:r>
      <w:r w:rsidR="00C00BB0">
        <w:rPr>
          <w:sz w:val="22"/>
        </w:rPr>
        <w:t xml:space="preserve"> </w:t>
      </w:r>
      <w:r>
        <w:rPr>
          <w:sz w:val="22"/>
        </w:rPr>
        <w:t>pourraient ne pas être disponibles. Si vous avez des questions, le personnel du comptoir d’accueil est disponible pour vous aider.</w:t>
      </w:r>
    </w:p>
    <w:p w14:paraId="4924EB79" w14:textId="5A562E25" w:rsidR="00FB2BB3" w:rsidRPr="002C1D7E" w:rsidRDefault="00FB2BB3" w:rsidP="00FB2BB3">
      <w:pPr>
        <w:rPr>
          <w:rFonts w:ascii="Raleway" w:hAnsi="Raleway"/>
          <w:sz w:val="22"/>
        </w:rPr>
      </w:pPr>
      <w:r>
        <w:rPr>
          <w:rFonts w:ascii="Arial" w:hAnsi="Arial"/>
          <w:b/>
        </w:rPr>
        <w:lastRenderedPageBreak/>
        <w:t>Visite de l’exposition ANIMALIA</w:t>
      </w:r>
      <w:r>
        <w:rPr>
          <w:rFonts w:ascii="Arial" w:hAnsi="Arial"/>
          <w:b/>
        </w:rPr>
        <w:br/>
      </w:r>
      <w:r w:rsidRPr="002C1D7E">
        <w:rPr>
          <w:sz w:val="22"/>
        </w:rPr>
        <w:t xml:space="preserve">Lors de votre rendez-vous aux Archives, vous pourrez également visiter l’exposition </w:t>
      </w:r>
      <w:hyperlink r:id="rId15" w:history="1">
        <w:r w:rsidRPr="002C1D7E">
          <w:rPr>
            <w:rStyle w:val="Hyperlink"/>
            <w:sz w:val="22"/>
          </w:rPr>
          <w:t>ANIMALIA</w:t>
        </w:r>
      </w:hyperlink>
      <w:r w:rsidRPr="002C1D7E">
        <w:rPr>
          <w:sz w:val="22"/>
        </w:rPr>
        <w:t xml:space="preserve"> présentée dans l’aire d’exposition Helen </w:t>
      </w:r>
      <w:proofErr w:type="spellStart"/>
      <w:r w:rsidRPr="002C1D7E">
        <w:rPr>
          <w:sz w:val="22"/>
        </w:rPr>
        <w:t>McClung</w:t>
      </w:r>
      <w:proofErr w:type="spellEnd"/>
      <w:r w:rsidRPr="002C1D7E">
        <w:rPr>
          <w:sz w:val="22"/>
        </w:rPr>
        <w:t xml:space="preserve">. </w:t>
      </w:r>
    </w:p>
    <w:p w14:paraId="286A4DD6" w14:textId="0DB76C48" w:rsidR="00B15846" w:rsidRPr="0060353F" w:rsidRDefault="00A511CD" w:rsidP="00DC54EF">
      <w:pPr>
        <w:spacing w:before="120" w:after="120"/>
        <w:rPr>
          <w:rFonts w:ascii="Arial" w:hAnsi="Arial" w:cs="Arial"/>
          <w:bCs/>
          <w:sz w:val="22"/>
        </w:rPr>
      </w:pPr>
      <w:r>
        <w:rPr>
          <w:rFonts w:ascii="Arial" w:hAnsi="Arial"/>
          <w:b/>
        </w:rPr>
        <w:t xml:space="preserve">Accès aux installations du campus de l’Université York </w:t>
      </w:r>
      <w:r>
        <w:rPr>
          <w:rFonts w:ascii="Arial" w:hAnsi="Arial"/>
          <w:b/>
        </w:rPr>
        <w:br/>
      </w:r>
      <w:r w:rsidR="0060353F" w:rsidRPr="0060353F">
        <w:rPr>
          <w:rFonts w:ascii="Arial" w:hAnsi="Arial" w:cs="Arial"/>
          <w:bCs/>
          <w:sz w:val="22"/>
        </w:rPr>
        <w:t xml:space="preserve">L'Université York exige le port de masques dans tous les espaces intérieurs jusqu'au 30 avril 2022. Des informations et des mises à jour sur la politique de l'Université York concernant COVID-19 peuvent être consultées </w:t>
      </w:r>
      <w:hyperlink r:id="rId16" w:history="1">
        <w:r w:rsidR="004711AF">
          <w:rPr>
            <w:rStyle w:val="Hyperlink"/>
          </w:rPr>
          <w:t>ici</w:t>
        </w:r>
      </w:hyperlink>
      <w:r w:rsidR="0060353F" w:rsidRPr="004711AF">
        <w:rPr>
          <w:rFonts w:ascii="Arial" w:hAnsi="Arial" w:cs="Arial"/>
          <w:bCs/>
          <w:sz w:val="22"/>
        </w:rPr>
        <w:t>.</w:t>
      </w:r>
    </w:p>
    <w:p w14:paraId="4AFCE3F6" w14:textId="77777777" w:rsidR="00B5639C" w:rsidRDefault="00040B8A" w:rsidP="00B5639C">
      <w:pPr>
        <w:spacing w:before="120" w:after="120"/>
        <w:rPr>
          <w:rFonts w:ascii="Arial" w:eastAsia="Calibri" w:hAnsi="Arial" w:cs="Arial"/>
          <w:color w:val="000000"/>
          <w:sz w:val="22"/>
        </w:rPr>
      </w:pPr>
      <w:r>
        <w:rPr>
          <w:rFonts w:ascii="Arial" w:hAnsi="Arial"/>
          <w:b/>
          <w:color w:val="615146"/>
          <w:sz w:val="32"/>
        </w:rPr>
        <w:t>Après votre visite</w:t>
      </w:r>
      <w:bookmarkEnd w:id="0"/>
    </w:p>
    <w:p w14:paraId="62C22E81" w14:textId="77777777" w:rsidR="00040B8A" w:rsidRPr="003E05BB" w:rsidRDefault="00040B8A" w:rsidP="00B5639C">
      <w:pPr>
        <w:spacing w:before="120" w:after="120"/>
        <w:rPr>
          <w:rFonts w:ascii="Arial" w:eastAsia="Calibri" w:hAnsi="Arial" w:cs="Arial"/>
          <w:color w:val="000000"/>
          <w:sz w:val="22"/>
        </w:rPr>
      </w:pPr>
      <w:r>
        <w:rPr>
          <w:rFonts w:ascii="Arial" w:hAnsi="Arial"/>
          <w:color w:val="000000"/>
          <w:sz w:val="22"/>
        </w:rPr>
        <w:t>À la fin de votre rendez-vous, veuillez laisser tout le matériel à votre poste de travail.</w:t>
      </w:r>
    </w:p>
    <w:p w14:paraId="4E7EF868" w14:textId="77777777" w:rsidR="00040B8A" w:rsidRPr="003E05BB" w:rsidRDefault="00040B8A" w:rsidP="00040B8A">
      <w:pPr>
        <w:rPr>
          <w:rFonts w:ascii="Arial" w:eastAsia="Calibri" w:hAnsi="Arial" w:cs="Arial"/>
          <w:color w:val="000000"/>
          <w:sz w:val="22"/>
        </w:rPr>
      </w:pPr>
      <w:r>
        <w:rPr>
          <w:rFonts w:ascii="Arial" w:hAnsi="Arial"/>
          <w:color w:val="000000"/>
          <w:sz w:val="22"/>
        </w:rPr>
        <w:t>Si vous souhaitez mettre certains documents en attente pour une consultation ultérieure ou si vous voulez récupérer des documents supplémentaires, veuillez en informer l’archiviste de référence qui vous aidera à passer votre commande et à prendre un autre rendez-vous.</w:t>
      </w:r>
    </w:p>
    <w:p w14:paraId="780C9D0C" w14:textId="77777777" w:rsidR="00040B8A" w:rsidRDefault="00040B8A" w:rsidP="00040B8A">
      <w:pPr>
        <w:rPr>
          <w:rFonts w:ascii="Arial" w:eastAsia="Calibri" w:hAnsi="Arial" w:cs="Arial"/>
          <w:color w:val="000000"/>
          <w:sz w:val="22"/>
        </w:rPr>
      </w:pPr>
      <w:r>
        <w:rPr>
          <w:rFonts w:ascii="Arial" w:hAnsi="Arial"/>
          <w:color w:val="000000"/>
          <w:sz w:val="22"/>
        </w:rPr>
        <w:t xml:space="preserve">Lors de votre départ de la salle de lecture, récupérez vos effets personnels dans votre casier et rendez la clé en la déposant dans le contenant de </w:t>
      </w:r>
      <w:r>
        <w:rPr>
          <w:rFonts w:ascii="Arial" w:hAnsi="Arial"/>
          <w:i/>
          <w:color w:val="000000"/>
          <w:sz w:val="22"/>
        </w:rPr>
        <w:t>retour des clés de casiers</w:t>
      </w:r>
      <w:r>
        <w:rPr>
          <w:rFonts w:ascii="Arial" w:hAnsi="Arial"/>
          <w:color w:val="000000"/>
          <w:sz w:val="22"/>
        </w:rPr>
        <w:t>.</w:t>
      </w:r>
    </w:p>
    <w:p w14:paraId="16F1CB73" w14:textId="77777777" w:rsidR="00544A76" w:rsidRPr="00D0172A" w:rsidRDefault="00737813" w:rsidP="00040B8A">
      <w:pPr>
        <w:rPr>
          <w:rFonts w:ascii="Arial" w:eastAsia="Calibri" w:hAnsi="Arial" w:cs="Arial"/>
          <w:color w:val="000000"/>
          <w:sz w:val="22"/>
        </w:rPr>
      </w:pPr>
      <w:r>
        <w:rPr>
          <w:rFonts w:ascii="Arial" w:hAnsi="Arial"/>
          <w:color w:val="000000"/>
          <w:sz w:val="22"/>
        </w:rPr>
        <w:t>Merci de votre coopération. Nous sommes impatients de vous revoir dans la salle de lecture!</w:t>
      </w:r>
    </w:p>
    <w:p w14:paraId="5516B871" w14:textId="4209DC3E" w:rsidR="00500515" w:rsidRPr="00707237" w:rsidRDefault="00707237" w:rsidP="00F61F85">
      <w:pPr>
        <w:rPr>
          <w:b/>
          <w:bCs/>
          <w:sz w:val="32"/>
          <w:szCs w:val="32"/>
        </w:rPr>
      </w:pPr>
      <w:r>
        <w:rPr>
          <w:rFonts w:ascii="Arial" w:hAnsi="Arial"/>
          <w:b/>
          <w:color w:val="615146"/>
          <w:sz w:val="32"/>
        </w:rPr>
        <w:t>Des questions?</w:t>
      </w:r>
    </w:p>
    <w:p w14:paraId="63AEB3B2" w14:textId="77777777" w:rsidR="00707237" w:rsidRPr="004B5417" w:rsidRDefault="00707237" w:rsidP="00F61F85">
      <w:pPr>
        <w:rPr>
          <w:sz w:val="22"/>
        </w:rPr>
      </w:pPr>
      <w:r>
        <w:rPr>
          <w:sz w:val="22"/>
        </w:rPr>
        <w:t xml:space="preserve">Si vous avez des questions, nous sommes là pour vous aider! </w:t>
      </w:r>
    </w:p>
    <w:p w14:paraId="40309C0A" w14:textId="77777777" w:rsidR="00707237" w:rsidRPr="004B5417" w:rsidRDefault="00707237" w:rsidP="00F61F85">
      <w:pPr>
        <w:rPr>
          <w:sz w:val="22"/>
        </w:rPr>
      </w:pPr>
      <w:r>
        <w:rPr>
          <w:sz w:val="22"/>
        </w:rPr>
        <w:t>Vous pouvez nous joindre à l’adresse suivante :</w:t>
      </w:r>
    </w:p>
    <w:p w14:paraId="23DF0673" w14:textId="77777777" w:rsidR="00707237" w:rsidRPr="004B5417" w:rsidRDefault="00707237" w:rsidP="00707237">
      <w:pPr>
        <w:pStyle w:val="ListParagraph"/>
        <w:numPr>
          <w:ilvl w:val="0"/>
          <w:numId w:val="4"/>
        </w:numPr>
        <w:rPr>
          <w:sz w:val="22"/>
        </w:rPr>
      </w:pPr>
      <w:r>
        <w:rPr>
          <w:sz w:val="22"/>
        </w:rPr>
        <w:t>Courriel</w:t>
      </w:r>
      <w:r>
        <w:t xml:space="preserve"> : </w:t>
      </w:r>
      <w:hyperlink r:id="rId17" w:tooltip="Cliquer ici pour envoyer un courriel aux Archives publiques" w:history="1">
        <w:r>
          <w:rPr>
            <w:rStyle w:val="Hyperlink"/>
            <w:sz w:val="22"/>
          </w:rPr>
          <w:t>reference@ontario.ca</w:t>
        </w:r>
      </w:hyperlink>
    </w:p>
    <w:p w14:paraId="3E0722F3" w14:textId="77777777" w:rsidR="00707237" w:rsidRPr="004B5417" w:rsidRDefault="00707237" w:rsidP="00707237">
      <w:pPr>
        <w:pStyle w:val="ListParagraph"/>
        <w:numPr>
          <w:ilvl w:val="0"/>
          <w:numId w:val="4"/>
        </w:numPr>
        <w:rPr>
          <w:sz w:val="22"/>
        </w:rPr>
      </w:pPr>
      <w:r>
        <w:rPr>
          <w:sz w:val="22"/>
        </w:rPr>
        <w:t>Téléphone : 416 327-1600 ou sans frais (Ontario seulement) 1 800 668-9933</w:t>
      </w:r>
    </w:p>
    <w:p w14:paraId="13ED0EB9" w14:textId="613B0244" w:rsidR="00394900" w:rsidRPr="000F741D" w:rsidRDefault="00707237" w:rsidP="000F741D">
      <w:pPr>
        <w:pStyle w:val="ListParagraph"/>
        <w:numPr>
          <w:ilvl w:val="0"/>
          <w:numId w:val="4"/>
        </w:numPr>
        <w:rPr>
          <w:sz w:val="22"/>
        </w:rPr>
      </w:pPr>
      <w:r>
        <w:rPr>
          <w:sz w:val="22"/>
        </w:rPr>
        <w:t>Site Web : ontario.ca/archives</w:t>
      </w:r>
      <w:r w:rsidR="00394900">
        <w:tab/>
      </w:r>
    </w:p>
    <w:sectPr w:rsidR="00394900" w:rsidRPr="000F741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3322" w14:textId="77777777" w:rsidR="00C621B0" w:rsidRDefault="00C621B0" w:rsidP="00F72078">
      <w:pPr>
        <w:spacing w:after="0" w:line="240" w:lineRule="auto"/>
      </w:pPr>
      <w:r>
        <w:separator/>
      </w:r>
    </w:p>
  </w:endnote>
  <w:endnote w:type="continuationSeparator" w:id="0">
    <w:p w14:paraId="470960B0" w14:textId="77777777" w:rsidR="00C621B0" w:rsidRDefault="00C621B0"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panose1 w:val="000005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CE2A" w14:textId="77777777" w:rsidR="007C117A" w:rsidRDefault="007C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75588"/>
      <w:docPartObj>
        <w:docPartGallery w:val="Page Numbers (Bottom of Page)"/>
        <w:docPartUnique/>
      </w:docPartObj>
    </w:sdtPr>
    <w:sdtEndPr>
      <w:rPr>
        <w:noProof/>
      </w:rPr>
    </w:sdtEndPr>
    <w:sdtContent>
      <w:p w14:paraId="31071091" w14:textId="77777777" w:rsidR="00BC34D2" w:rsidRDefault="00394900" w:rsidP="00394900">
        <w:pPr>
          <w:pStyle w:val="Footer"/>
        </w:pPr>
        <w:r>
          <w:t xml:space="preserve"> </w:t>
        </w:r>
        <w:r>
          <w:rPr>
            <w:i/>
            <w:sz w:val="22"/>
          </w:rPr>
          <w:t>Protocole de la salle de lecture des Archives publiques de l’Ontario</w:t>
        </w:r>
        <w:r>
          <w:tab/>
        </w:r>
        <w:r>
          <w:tab/>
          <w:t xml:space="preserve"> </w:t>
        </w:r>
        <w:r w:rsidR="00BC34D2">
          <w:fldChar w:fldCharType="begin"/>
        </w:r>
        <w:r w:rsidR="00BC34D2">
          <w:instrText xml:space="preserve"> PAGE   \* MERGEFORMAT </w:instrText>
        </w:r>
        <w:r w:rsidR="00BC34D2">
          <w:fldChar w:fldCharType="separate"/>
        </w:r>
        <w:r w:rsidR="007C117A">
          <w:rPr>
            <w:noProof/>
          </w:rPr>
          <w:t>2</w:t>
        </w:r>
        <w:r w:rsidR="00BC34D2">
          <w:fldChar w:fldCharType="end"/>
        </w:r>
      </w:p>
    </w:sdtContent>
  </w:sdt>
  <w:p w14:paraId="771362B7"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1D64" w14:textId="77777777" w:rsidR="007C117A" w:rsidRDefault="007C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39E5" w14:textId="77777777" w:rsidR="00C621B0" w:rsidRDefault="00C621B0" w:rsidP="00F72078">
      <w:pPr>
        <w:spacing w:after="0" w:line="240" w:lineRule="auto"/>
      </w:pPr>
      <w:r>
        <w:separator/>
      </w:r>
    </w:p>
  </w:footnote>
  <w:footnote w:type="continuationSeparator" w:id="0">
    <w:p w14:paraId="442B274F" w14:textId="77777777" w:rsidR="00C621B0" w:rsidRDefault="00C621B0"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E800" w14:textId="77777777" w:rsidR="007C117A" w:rsidRDefault="007C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E486" w14:textId="77777777" w:rsidR="007C117A" w:rsidRDefault="007C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F49" w14:textId="77777777" w:rsidR="007C117A" w:rsidRDefault="007C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DD9"/>
    <w:multiLevelType w:val="hybridMultilevel"/>
    <w:tmpl w:val="E9562E6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E80212"/>
    <w:multiLevelType w:val="hybridMultilevel"/>
    <w:tmpl w:val="54A0F9E2"/>
    <w:lvl w:ilvl="0" w:tplc="BF90A044">
      <w:start w:val="1"/>
      <w:numFmt w:val="bullet"/>
      <w:lvlText w:val=""/>
      <w:lvlJc w:val="left"/>
      <w:pPr>
        <w:ind w:left="720" w:hanging="360"/>
      </w:pPr>
      <w:rPr>
        <w:rFonts w:ascii="Symbol" w:hAnsi="Symbol" w:hint="default"/>
        <w:color w:val="61514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4077AB"/>
    <w:multiLevelType w:val="hybridMultilevel"/>
    <w:tmpl w:val="3EB29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020AE7"/>
    <w:multiLevelType w:val="hybridMultilevel"/>
    <w:tmpl w:val="D36E9DA8"/>
    <w:lvl w:ilvl="0" w:tplc="BF90A044">
      <w:start w:val="1"/>
      <w:numFmt w:val="bullet"/>
      <w:lvlText w:val=""/>
      <w:lvlJc w:val="left"/>
      <w:pPr>
        <w:ind w:left="720" w:hanging="360"/>
      </w:pPr>
      <w:rPr>
        <w:rFonts w:ascii="Symbol" w:hAnsi="Symbol" w:hint="default"/>
        <w:color w:val="61514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8A"/>
    <w:rsid w:val="00005F90"/>
    <w:rsid w:val="00040B8A"/>
    <w:rsid w:val="0004227F"/>
    <w:rsid w:val="000A0119"/>
    <w:rsid w:val="000F741D"/>
    <w:rsid w:val="00101B0E"/>
    <w:rsid w:val="00121265"/>
    <w:rsid w:val="00136BC4"/>
    <w:rsid w:val="00136C70"/>
    <w:rsid w:val="00143591"/>
    <w:rsid w:val="00166A61"/>
    <w:rsid w:val="001802B5"/>
    <w:rsid w:val="00192B89"/>
    <w:rsid w:val="0019589D"/>
    <w:rsid w:val="001A58A1"/>
    <w:rsid w:val="001C33B4"/>
    <w:rsid w:val="001C37B4"/>
    <w:rsid w:val="001E5AB9"/>
    <w:rsid w:val="001F129E"/>
    <w:rsid w:val="001F2377"/>
    <w:rsid w:val="00205A81"/>
    <w:rsid w:val="0022176C"/>
    <w:rsid w:val="00225BE4"/>
    <w:rsid w:val="00241AB6"/>
    <w:rsid w:val="00281141"/>
    <w:rsid w:val="002C1D7E"/>
    <w:rsid w:val="002E03B0"/>
    <w:rsid w:val="002E5DF8"/>
    <w:rsid w:val="002E6FF6"/>
    <w:rsid w:val="002F0BDF"/>
    <w:rsid w:val="002F445C"/>
    <w:rsid w:val="00317F1F"/>
    <w:rsid w:val="00324757"/>
    <w:rsid w:val="00324862"/>
    <w:rsid w:val="0033729F"/>
    <w:rsid w:val="00340CCA"/>
    <w:rsid w:val="0036413B"/>
    <w:rsid w:val="00381DD8"/>
    <w:rsid w:val="003879CF"/>
    <w:rsid w:val="00394900"/>
    <w:rsid w:val="003A5787"/>
    <w:rsid w:val="003C1B30"/>
    <w:rsid w:val="003C25F7"/>
    <w:rsid w:val="003F2F37"/>
    <w:rsid w:val="003F7F29"/>
    <w:rsid w:val="00404C1A"/>
    <w:rsid w:val="00426A2E"/>
    <w:rsid w:val="004275F3"/>
    <w:rsid w:val="004711AF"/>
    <w:rsid w:val="00472940"/>
    <w:rsid w:val="00477248"/>
    <w:rsid w:val="00477C4B"/>
    <w:rsid w:val="00487378"/>
    <w:rsid w:val="00495F25"/>
    <w:rsid w:val="004A2238"/>
    <w:rsid w:val="004A392D"/>
    <w:rsid w:val="004B347D"/>
    <w:rsid w:val="004B5417"/>
    <w:rsid w:val="004B69F7"/>
    <w:rsid w:val="004C73D5"/>
    <w:rsid w:val="004D1CDE"/>
    <w:rsid w:val="004E0CE3"/>
    <w:rsid w:val="004E5A5B"/>
    <w:rsid w:val="004F1B03"/>
    <w:rsid w:val="004F20C3"/>
    <w:rsid w:val="004F533A"/>
    <w:rsid w:val="00500515"/>
    <w:rsid w:val="005022B0"/>
    <w:rsid w:val="005160E1"/>
    <w:rsid w:val="00517C92"/>
    <w:rsid w:val="00522900"/>
    <w:rsid w:val="00537191"/>
    <w:rsid w:val="00544A76"/>
    <w:rsid w:val="005460C6"/>
    <w:rsid w:val="00546AEE"/>
    <w:rsid w:val="00562D08"/>
    <w:rsid w:val="00564ED2"/>
    <w:rsid w:val="0056650B"/>
    <w:rsid w:val="0057735C"/>
    <w:rsid w:val="005B2DAC"/>
    <w:rsid w:val="0060353F"/>
    <w:rsid w:val="00612F38"/>
    <w:rsid w:val="00624B02"/>
    <w:rsid w:val="0064151D"/>
    <w:rsid w:val="00695E04"/>
    <w:rsid w:val="006A0568"/>
    <w:rsid w:val="006B16B8"/>
    <w:rsid w:val="006C7751"/>
    <w:rsid w:val="006D72AA"/>
    <w:rsid w:val="00707237"/>
    <w:rsid w:val="00721DA3"/>
    <w:rsid w:val="00737813"/>
    <w:rsid w:val="0074022C"/>
    <w:rsid w:val="007535DE"/>
    <w:rsid w:val="00761E89"/>
    <w:rsid w:val="00767151"/>
    <w:rsid w:val="007707B1"/>
    <w:rsid w:val="00794C32"/>
    <w:rsid w:val="007B4D61"/>
    <w:rsid w:val="007B7B53"/>
    <w:rsid w:val="007C117A"/>
    <w:rsid w:val="007D6DDD"/>
    <w:rsid w:val="007F2E3B"/>
    <w:rsid w:val="00802EE1"/>
    <w:rsid w:val="008049AE"/>
    <w:rsid w:val="00846BEC"/>
    <w:rsid w:val="0088276C"/>
    <w:rsid w:val="00885528"/>
    <w:rsid w:val="008B5EE9"/>
    <w:rsid w:val="008C17E9"/>
    <w:rsid w:val="00911BE5"/>
    <w:rsid w:val="00945675"/>
    <w:rsid w:val="009525B7"/>
    <w:rsid w:val="009638FD"/>
    <w:rsid w:val="009864A1"/>
    <w:rsid w:val="009A45B8"/>
    <w:rsid w:val="009A5FAA"/>
    <w:rsid w:val="009B1D63"/>
    <w:rsid w:val="009B3DF5"/>
    <w:rsid w:val="009B65DE"/>
    <w:rsid w:val="009C1B11"/>
    <w:rsid w:val="009C1F17"/>
    <w:rsid w:val="009E20EE"/>
    <w:rsid w:val="009E2ADB"/>
    <w:rsid w:val="009E3841"/>
    <w:rsid w:val="009E74E8"/>
    <w:rsid w:val="00A03FFF"/>
    <w:rsid w:val="00A07433"/>
    <w:rsid w:val="00A27A45"/>
    <w:rsid w:val="00A3106F"/>
    <w:rsid w:val="00A4736E"/>
    <w:rsid w:val="00A511CD"/>
    <w:rsid w:val="00A63038"/>
    <w:rsid w:val="00A81FB3"/>
    <w:rsid w:val="00A963FC"/>
    <w:rsid w:val="00A97F92"/>
    <w:rsid w:val="00AB5C3B"/>
    <w:rsid w:val="00AD71CE"/>
    <w:rsid w:val="00AF4D6A"/>
    <w:rsid w:val="00B00EA4"/>
    <w:rsid w:val="00B15846"/>
    <w:rsid w:val="00B36146"/>
    <w:rsid w:val="00B40607"/>
    <w:rsid w:val="00B40BED"/>
    <w:rsid w:val="00B5639C"/>
    <w:rsid w:val="00B93223"/>
    <w:rsid w:val="00BC34D2"/>
    <w:rsid w:val="00BC4862"/>
    <w:rsid w:val="00BD4C9A"/>
    <w:rsid w:val="00BE4AE4"/>
    <w:rsid w:val="00BE7D82"/>
    <w:rsid w:val="00C00BB0"/>
    <w:rsid w:val="00C029AC"/>
    <w:rsid w:val="00C1665F"/>
    <w:rsid w:val="00C40482"/>
    <w:rsid w:val="00C442F5"/>
    <w:rsid w:val="00C456DC"/>
    <w:rsid w:val="00C5047B"/>
    <w:rsid w:val="00C621B0"/>
    <w:rsid w:val="00C93AB7"/>
    <w:rsid w:val="00CC034D"/>
    <w:rsid w:val="00CF142F"/>
    <w:rsid w:val="00D3117B"/>
    <w:rsid w:val="00D47506"/>
    <w:rsid w:val="00D55C6D"/>
    <w:rsid w:val="00D64F60"/>
    <w:rsid w:val="00D83F89"/>
    <w:rsid w:val="00D841DE"/>
    <w:rsid w:val="00DC54EF"/>
    <w:rsid w:val="00DE1873"/>
    <w:rsid w:val="00DF4FB2"/>
    <w:rsid w:val="00E01CD4"/>
    <w:rsid w:val="00E06775"/>
    <w:rsid w:val="00E07356"/>
    <w:rsid w:val="00E12ED3"/>
    <w:rsid w:val="00E2070A"/>
    <w:rsid w:val="00E22D81"/>
    <w:rsid w:val="00E27475"/>
    <w:rsid w:val="00E539A3"/>
    <w:rsid w:val="00E70B1B"/>
    <w:rsid w:val="00E87B74"/>
    <w:rsid w:val="00EB05E4"/>
    <w:rsid w:val="00EB4F1D"/>
    <w:rsid w:val="00ED46EC"/>
    <w:rsid w:val="00EE0050"/>
    <w:rsid w:val="00EE6094"/>
    <w:rsid w:val="00EF16D0"/>
    <w:rsid w:val="00F17B57"/>
    <w:rsid w:val="00F243C2"/>
    <w:rsid w:val="00F24DCA"/>
    <w:rsid w:val="00F32AE6"/>
    <w:rsid w:val="00F35827"/>
    <w:rsid w:val="00F37894"/>
    <w:rsid w:val="00F61F85"/>
    <w:rsid w:val="00F72078"/>
    <w:rsid w:val="00F85186"/>
    <w:rsid w:val="00F903DA"/>
    <w:rsid w:val="00F9120B"/>
    <w:rsid w:val="00F912B1"/>
    <w:rsid w:val="00FA2E26"/>
    <w:rsid w:val="00FA62DB"/>
    <w:rsid w:val="00FB06ED"/>
    <w:rsid w:val="00FB11EB"/>
    <w:rsid w:val="00FB2BB3"/>
    <w:rsid w:val="00FC51AA"/>
    <w:rsid w:val="00FE363E"/>
    <w:rsid w:val="00FF5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7308C"/>
  <w15:chartTrackingRefBased/>
  <w15:docId w15:val="{BED76138-6278-4F0F-852F-7C8A88C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B8A"/>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Unordered List Level 1,Indented Paragraph,Heading 4 test,Bullet List 1,MOU List Number i,kern at 14 pt,Bullet list,Lettre d'introduction,List Paragraph1,Recommendation,List Paragraph11,bullet 2,Subheading 1,List Paragraph - bullets"/>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040B8A"/>
    <w:rPr>
      <w:color w:val="5F5F5F" w:themeColor="hyperlink"/>
      <w:u w:val="single"/>
    </w:rPr>
  </w:style>
  <w:style w:type="character" w:customStyle="1" w:styleId="ListParagraphChar">
    <w:name w:val="List Paragraph Char"/>
    <w:aliases w:val="Unordered List Level 1 Char,Indented Paragraph Char,Heading 4 test Char,Bullet List 1 Char,MOU List Number i Char,kern at 14 pt Char,Bullet list Char,Lettre d'introduction Char,List Paragraph1 Char,Recommendation Char,bullet 2 Char"/>
    <w:link w:val="ListParagraph"/>
    <w:uiPriority w:val="34"/>
    <w:qFormat/>
    <w:rsid w:val="00040B8A"/>
    <w:rPr>
      <w:sz w:val="24"/>
    </w:rPr>
  </w:style>
  <w:style w:type="table" w:styleId="TableGrid">
    <w:name w:val="Table Grid"/>
    <w:basedOn w:val="TableNormal"/>
    <w:uiPriority w:val="59"/>
    <w:rsid w:val="00F9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0BDF"/>
    <w:rPr>
      <w:color w:val="605E5C"/>
      <w:shd w:val="clear" w:color="auto" w:fill="E1DFDD"/>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2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782">
      <w:bodyDiv w:val="1"/>
      <w:marLeft w:val="0"/>
      <w:marRight w:val="0"/>
      <w:marTop w:val="0"/>
      <w:marBottom w:val="0"/>
      <w:divBdr>
        <w:top w:val="none" w:sz="0" w:space="0" w:color="auto"/>
        <w:left w:val="none" w:sz="0" w:space="0" w:color="auto"/>
        <w:bottom w:val="none" w:sz="0" w:space="0" w:color="auto"/>
        <w:right w:val="none" w:sz="0" w:space="0" w:color="auto"/>
      </w:divBdr>
    </w:div>
    <w:div w:id="278221306">
      <w:bodyDiv w:val="1"/>
      <w:marLeft w:val="0"/>
      <w:marRight w:val="0"/>
      <w:marTop w:val="0"/>
      <w:marBottom w:val="0"/>
      <w:divBdr>
        <w:top w:val="none" w:sz="0" w:space="0" w:color="auto"/>
        <w:left w:val="none" w:sz="0" w:space="0" w:color="auto"/>
        <w:bottom w:val="none" w:sz="0" w:space="0" w:color="auto"/>
        <w:right w:val="none" w:sz="0" w:space="0" w:color="auto"/>
      </w:divBdr>
    </w:div>
    <w:div w:id="917128090">
      <w:bodyDiv w:val="1"/>
      <w:marLeft w:val="0"/>
      <w:marRight w:val="0"/>
      <w:marTop w:val="0"/>
      <w:marBottom w:val="0"/>
      <w:divBdr>
        <w:top w:val="none" w:sz="0" w:space="0" w:color="auto"/>
        <w:left w:val="none" w:sz="0" w:space="0" w:color="auto"/>
        <w:bottom w:val="none" w:sz="0" w:space="0" w:color="auto"/>
        <w:right w:val="none" w:sz="0" w:space="0" w:color="auto"/>
      </w:divBdr>
    </w:div>
    <w:div w:id="1019087707">
      <w:bodyDiv w:val="1"/>
      <w:marLeft w:val="0"/>
      <w:marRight w:val="0"/>
      <w:marTop w:val="0"/>
      <w:marBottom w:val="0"/>
      <w:divBdr>
        <w:top w:val="none" w:sz="0" w:space="0" w:color="auto"/>
        <w:left w:val="none" w:sz="0" w:space="0" w:color="auto"/>
        <w:bottom w:val="none" w:sz="0" w:space="0" w:color="auto"/>
        <w:right w:val="none" w:sz="0" w:space="0" w:color="auto"/>
      </w:divBdr>
    </w:div>
    <w:div w:id="18141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a/archiv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rchives.gov.on.ca/fr/public/book_archives_ontario_services.aspx" TargetMode="External"/><Relationship Id="rId17" Type="http://schemas.openxmlformats.org/officeDocument/2006/relationships/hyperlink" Target="mailto:reference@ontario.ca?subject=Protocole%20de%20la%20salle%20de%20lect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rku.ca/bettertogether/?lang=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chives.gov.on.ca/fr/explore/online/online_exhibits.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fr/about/prepare.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178F8-9597-423D-8038-3C6E210CA957}">
  <ds:schemaRefs>
    <ds:schemaRef ds:uri="http://schemas.openxmlformats.org/officeDocument/2006/bibliography"/>
  </ds:schemaRefs>
</ds:datastoreItem>
</file>

<file path=customXml/itemProps2.xml><?xml version="1.0" encoding="utf-8"?>
<ds:datastoreItem xmlns:ds="http://schemas.openxmlformats.org/officeDocument/2006/customXml" ds:itemID="{1A22AE93-A064-4BB0-8B7F-24019801089E}">
  <ds:schemaRefs>
    <ds:schemaRef ds:uri="http://schemas.microsoft.com/sharepoint/v3/contenttype/forms"/>
  </ds:schemaRefs>
</ds:datastoreItem>
</file>

<file path=customXml/itemProps3.xml><?xml version="1.0" encoding="utf-8"?>
<ds:datastoreItem xmlns:ds="http://schemas.openxmlformats.org/officeDocument/2006/customXml" ds:itemID="{D6DF1AAD-8A34-4475-8E95-5225BEE8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4776B-0663-4E5A-BDFE-FE64371C1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Maljar-Hupel, Teresa (MGCS)</dc:creator>
  <cp:keywords/>
  <dc:description/>
  <cp:lastModifiedBy>Hill, Shalene (MGCS)</cp:lastModifiedBy>
  <cp:revision>18</cp:revision>
  <dcterms:created xsi:type="dcterms:W3CDTF">2022-03-21T19:20:00Z</dcterms:created>
  <dcterms:modified xsi:type="dcterms:W3CDTF">2022-03-23T16:50:00Z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2021-08-10T06:54:25Z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d6e7b3ab-d60c-49a7-a5ab-2139b42efb61</vt:lpwstr>
  </property>
  <property fmtid="{D5CDD505-2E9C-101B-9397-08002B2CF9AE}" pid="9" name="MSIP_Label_034a106e-6316-442c-ad35-738afd673d2b_ContentBits">
    <vt:lpwstr>0</vt:lpwstr>
  </property>
</Properties>
</file>