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2.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header.xml" ContentType="application/vnd.openxmlformats-officedocument.wordprocessingml.header+xml"/>
  <Override PartName="/word/footer.xml" ContentType="application/vnd.openxmlformats-officedocument.wordprocessingml.footer+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2.xml" Id="rId1" /></Relationships>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w:rsidR="0EC38EA6" w:rsidP="332BD677" w:rsidRDefault="0EC38EA6" w14:paraId="09A9844B" w14:textId="72EA9130" w14:noSpellErr="1">
      <w:pPr>
        <w:pStyle w:val="Normal"/>
        <w:jc w:val="center"/>
      </w:pPr>
      <w:r w:rsidR="0EC38EA6">
        <w:drawing>
          <wp:inline wp14:editId="16A48D05" wp14:anchorId="59CA74CF">
            <wp:extent cx="3048000" cy="4572000"/>
            <wp:effectExtent l="0" t="0" r="0" b="0"/>
            <wp:docPr id="2062970962" name="" descr="Une photo en noir et blanc de Sing Hoo, à partir de la taille, travaillant sur une sculpture en céramique. Il est asiatique, d'âge moyen, aux cheveux noirs. Il tient la sculpture d'une main tout en utilisant un outil pour la sculpter avec l'autre. La sculpture est de deux poissons gambadant. C'est sur un bloc de bois au sommet d'un pilier avec Hoo debout derrière. Il porte une blouse par-dessus une chemise et une cravate." title="A."/>
            <wp:cNvGraphicFramePr>
              <a:graphicFrameLocks noChangeAspect="1"/>
            </wp:cNvGraphicFramePr>
            <a:graphic>
              <a:graphicData uri="http://schemas.openxmlformats.org/drawingml/2006/picture">
                <pic:pic>
                  <pic:nvPicPr>
                    <pic:cNvPr id="0" name=""/>
                    <pic:cNvPicPr/>
                  </pic:nvPicPr>
                  <pic:blipFill>
                    <a:blip r:embed="Recdbd4c8c7834d6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5E649140" w:rsidP="47668A30" w:rsidRDefault="5E649140" w14:paraId="6423C6C2" w14:textId="2AAD4EAC">
      <w:pPr>
        <w:jc w:val="center"/>
      </w:pPr>
      <w:r>
        <w:br w:type="page"/>
      </w:r>
      <w:r w:rsidR="5E06C7B1">
        <w:drawing>
          <wp:inline wp14:editId="2212BC9A" wp14:anchorId="41D5FC9D">
            <wp:extent cx="3048000" cy="4572000"/>
            <wp:effectExtent l="0" t="0" r="0" b="0"/>
            <wp:docPr id="1825308144" name="" descr="Sing Hoo est né à Canton, en Chine, le 15 mai 1911. Il a émigré à Calgary, en Alberta, en 1922. En 1933, il a reçu un diplôme de l’École des beaux-arts de l’Ontario. Au cours de sa longue carrière de sculpteur, il a participé à la création du monument Sir Adam Beck à Toronto, a travaillé au département de paléontologie du Musée royal de l’Ontario, a étudié les beaux-arts à Londres (Angleterre) et s’est rendu en Chine pour donner des conférences sur l’art canadien.&#10;&#10;Sing Hoo avec sculpture « Happy Pair », 1947 (I0010398)" title="Artiste."/>
            <wp:cNvGraphicFramePr>
              <a:graphicFrameLocks noChangeAspect="1"/>
            </wp:cNvGraphicFramePr>
            <a:graphic>
              <a:graphicData uri="http://schemas.openxmlformats.org/drawingml/2006/picture">
                <pic:pic>
                  <pic:nvPicPr>
                    <pic:cNvPr id="0" name=""/>
                    <pic:cNvPicPr/>
                  </pic:nvPicPr>
                  <pic:blipFill>
                    <a:blip r:embed="R9565d6fc17e44f8e">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175023AE" w:rsidP="47668A30" w:rsidRDefault="175023AE" w14:paraId="3A1D4928" w14:textId="581087EB" w14:noSpellErr="1">
      <w:pPr>
        <w:jc w:val="center"/>
      </w:pPr>
      <w:r>
        <w:br w:type="page"/>
      </w:r>
      <w:r w:rsidR="175023AE">
        <w:drawing>
          <wp:inline wp14:editId="35A376CD" wp14:anchorId="5F2970CA">
            <wp:extent cx="3048000" cy="4572000"/>
            <wp:effectExtent l="0" t="0" r="0" b="0"/>
            <wp:docPr id="373874557" name="" descr="Une photo en noir et blanc d'un homme de race blanche debout derrière un vélo. Il tient le vélo par le guidon avec sa main droite et sa main gauche tient le siège du vélo. Il a les cheveux bruns et une moustache et porte un fedora, une chemise à rayures horizontales noir et blanc, un jean et des bottes en dentelle. Il se tient devant un fond peint qui comprend des fleurs sortant d'un vase élaboré devant une porte. " title="B."/>
            <wp:cNvGraphicFramePr>
              <a:graphicFrameLocks noChangeAspect="1"/>
            </wp:cNvGraphicFramePr>
            <a:graphic>
              <a:graphicData uri="http://schemas.openxmlformats.org/drawingml/2006/picture">
                <pic:pic>
                  <pic:nvPicPr>
                    <pic:cNvPr id="0" name=""/>
                    <pic:cNvPicPr/>
                  </pic:nvPicPr>
                  <pic:blipFill>
                    <a:blip r:embed="Rc90086cfdfe84bc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4F8BE74F" w:rsidP="47668A30" w:rsidRDefault="4F8BE74F" w14:paraId="1FD4A771" w14:textId="775322E8">
      <w:pPr>
        <w:jc w:val="center"/>
      </w:pPr>
      <w:r>
        <w:br w:type="page"/>
      </w:r>
      <w:r w:rsidR="44002F41">
        <w:drawing>
          <wp:inline wp14:editId="5A94A70A" wp14:anchorId="7BC9A148">
            <wp:extent cx="3048000" cy="4572000"/>
            <wp:effectExtent l="0" t="0" r="0" b="0"/>
            <wp:docPr id="621295507" name="" descr="La conception du « vélo de sécurité » à la fin du XIXe siècle a constitué une amélioration majeure par rapport aux modèles précédents : la roue arrière entraînée par chaîne, la roue avant dirigeable et les roues de même taille ont contribué à faire du vélo une expérience plus sûre et plus agréable pour tous.&#10;&#10;Homme au vélo, vers 1900 (I0002502)" title="Bicyclette."/>
            <wp:cNvGraphicFramePr>
              <a:graphicFrameLocks noChangeAspect="1"/>
            </wp:cNvGraphicFramePr>
            <a:graphic>
              <a:graphicData uri="http://schemas.openxmlformats.org/drawingml/2006/picture">
                <pic:pic>
                  <pic:nvPicPr>
                    <pic:cNvPr id="0" name=""/>
                    <pic:cNvPicPr/>
                  </pic:nvPicPr>
                  <pic:blipFill>
                    <a:blip r:embed="R0a48f19cd71444d1">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0028A7A2" w:rsidP="47668A30" w:rsidRDefault="0028A7A2" w14:paraId="1DD1E2BC" w14:textId="2BA65B28" w14:noSpellErr="1">
      <w:pPr>
        <w:jc w:val="center"/>
      </w:pPr>
      <w:r>
        <w:br w:type="page"/>
      </w:r>
      <w:r w:rsidR="0028A7A2">
        <w:drawing>
          <wp:inline wp14:editId="5FCEB91A" wp14:anchorId="5204D230">
            <wp:extent cx="4572000" cy="3048000"/>
            <wp:effectExtent l="0" t="0" r="0" b="0"/>
            <wp:docPr id="1611254045" name="" descr="Une photo en noir et blanc de Maria Mikenak, pagayant son canot d'écorce de bouleau à la main au bord d'une rivière. Elle est autochtone et porte un foulard et un pardessus. Elle et le canoë sont tournés vers la droite. Le rivage est au premier plan et la rivière menant à une ligne d'horizon avec un ciel clair au-dessus de l'horizon est en arrière-plan." title="C."/>
            <wp:cNvGraphicFramePr>
              <a:graphicFrameLocks noChangeAspect="1"/>
            </wp:cNvGraphicFramePr>
            <a:graphic>
              <a:graphicData uri="http://schemas.openxmlformats.org/drawingml/2006/picture">
                <pic:pic>
                  <pic:nvPicPr>
                    <pic:cNvPr id="0" name=""/>
                    <pic:cNvPicPr/>
                  </pic:nvPicPr>
                  <pic:blipFill>
                    <a:blip r:embed="Rc0b52e4191494f1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3B291A5" w:rsidP="47668A30" w:rsidRDefault="63B291A5" w14:paraId="0BCC629E" w14:textId="3F5B32EB">
      <w:pPr>
        <w:jc w:val="center"/>
      </w:pPr>
      <w:r>
        <w:br w:type="page"/>
      </w:r>
      <w:r w:rsidR="5FE006C0">
        <w:drawing>
          <wp:inline wp14:editId="0409D1B9" wp14:anchorId="54309C73">
            <wp:extent cx="4572000" cy="3048000"/>
            <wp:effectExtent l="0" t="0" r="0" b="0"/>
            <wp:docPr id="1065750057" name="" descr="Depuis des générations, les canoës sont une nécessité pour les Ojibwés vivant autour du lac Saint-Joseph et de la rivière Albany. Légers et maniables, les canoës en écorce de bouleau sont parfaitement adaptés aux déplacements estivaux dans le réseau hydrographique, les étangs, les lacs et les rivières rapides du nord-ouest de l’Ontario.&#10;&#10;« Maria Mikenak in canoe she built near Osnaburgh House, Albany River », 1956 (I0000374)" title="Canoë."/>
            <wp:cNvGraphicFramePr>
              <a:graphicFrameLocks noChangeAspect="1"/>
            </wp:cNvGraphicFramePr>
            <a:graphic>
              <a:graphicData uri="http://schemas.openxmlformats.org/drawingml/2006/picture">
                <pic:pic>
                  <pic:nvPicPr>
                    <pic:cNvPr id="0" name=""/>
                    <pic:cNvPicPr/>
                  </pic:nvPicPr>
                  <pic:blipFill>
                    <a:blip r:embed="Rcb5af9cf00b94434">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766CD091" w:rsidP="47668A30" w:rsidRDefault="766CD091" w14:paraId="110959C1" w14:textId="2272E88C">
      <w:pPr>
        <w:jc w:val="center"/>
      </w:pPr>
      <w:r>
        <w:br w:type="page"/>
      </w:r>
      <w:r w:rsidR="7C95553D">
        <w:drawing>
          <wp:inline wp14:editId="250B901D" wp14:anchorId="3D5A794C">
            <wp:extent cx="4572000" cy="3048000"/>
            <wp:effectExtent l="0" t="0" r="0" b="0"/>
            <wp:docPr id="1421571152" name="" descr="Une photo en noir et blanc de deux préadolescents blancs, Kevin et Sarah Grogan, debout sur un porche à côté d'un grand drapeau Canadien. La fille, Sarah, est à gauche et porte un t-shirt de couleur claire avec ses cheveux bruns tirés derrière son visage. Le garçon, Kevin, est à sa droite et porte un t-shirt de couleur claire; ses cheveux bruns tombent juste au-dessus de ses oreilles. Les deux s'appuient sur une balustrade en bois. Un grand drapeau Canadien, suspendu à un poteau attaché à la balustrade, vole à droite des enfants. Derrière eux, des arbres." title="D."/>
            <wp:cNvGraphicFramePr>
              <a:graphicFrameLocks noChangeAspect="1"/>
            </wp:cNvGraphicFramePr>
            <a:graphic>
              <a:graphicData uri="http://schemas.openxmlformats.org/drawingml/2006/picture">
                <pic:pic>
                  <pic:nvPicPr>
                    <pic:cNvPr id="0" name=""/>
                    <pic:cNvPicPr/>
                  </pic:nvPicPr>
                  <pic:blipFill>
                    <a:blip r:embed="Re4513b2fd2874655">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37C9BF1F" w:rsidP="47668A30" w:rsidRDefault="37C9BF1F" w14:paraId="12169612" w14:textId="34293D40">
      <w:pPr>
        <w:jc w:val="center"/>
      </w:pPr>
      <w:r>
        <w:br w:type="page"/>
      </w:r>
      <w:r w:rsidR="07524A6C">
        <w:drawing>
          <wp:inline wp14:editId="3C5E21F5" wp14:anchorId="7B3CCC60">
            <wp:extent cx="4572000" cy="3048000"/>
            <wp:effectExtent l="0" t="0" r="0" b="0"/>
            <wp:docPr id="73784413" name="" descr="Pendant près d’un siècle après la Confédération en 1867, le Canada a utilisé de nombreux drapeaux différents, jusqu’à ce que le premier ministre Lester B. Pearson lance la recherche d’un drapeau canadien officiel en 1964. En fin de compte, le simple dessin rouge et blanc du colonel George Stanley, inspiré du drapeau du Collège militaire royal de Kingston, en Ontario, a été choisi et proclamé par la reine Élizabeth II en 1965.&#10;&#10;Kevin et Sarah Grogan, vers1995 (I0021571)" title="Drapeau."/>
            <wp:cNvGraphicFramePr>
              <a:graphicFrameLocks noChangeAspect="1"/>
            </wp:cNvGraphicFramePr>
            <a:graphic>
              <a:graphicData uri="http://schemas.openxmlformats.org/drawingml/2006/picture">
                <pic:pic>
                  <pic:nvPicPr>
                    <pic:cNvPr id="0" name=""/>
                    <pic:cNvPicPr/>
                  </pic:nvPicPr>
                  <pic:blipFill>
                    <a:blip r:embed="R8f658393233d4a33">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28F945EF" w:rsidP="47668A30" w:rsidRDefault="28F945EF" w14:paraId="1F169079" w14:textId="5B0B2426">
      <w:pPr>
        <w:jc w:val="center"/>
      </w:pPr>
      <w:r>
        <w:br w:type="page"/>
      </w:r>
      <w:r w:rsidR="237F555B">
        <w:drawing>
          <wp:inline wp14:editId="4DE25F97" wp14:anchorId="41D47F9A">
            <wp:extent cx="4572000" cy="3048000"/>
            <wp:effectExtent l="0" t="0" r="0" b="0"/>
            <wp:docPr id="1666368256" name="" descr="Une photo en noir et blanc de jeunes assis à un bureau dans une salle de classe. Les bureaux accueillent chacun un étudiant et sont disposés en rangées de quatre. Chaque bureau est occupé par un étudiant - il y a des étudiants noirs et blancs dans la classe. Les étudiants masculins portent des costumes en tissu foncé épais, avec des chemises à col blanc et des cravates. Les étudiantes portent des robes de jour dans différents styles. Les 31 étudiants regardent la caméra. Au fond de la classe se tient un enseignant plus âgé, aux cheveux blancs et à la moustache grise, vêtu d'un costume, devant trois grandes fenêtres." title="E."/>
            <wp:cNvGraphicFramePr>
              <a:graphicFrameLocks noChangeAspect="1"/>
            </wp:cNvGraphicFramePr>
            <a:graphic>
              <a:graphicData uri="http://schemas.openxmlformats.org/drawingml/2006/picture">
                <pic:pic>
                  <pic:nvPicPr>
                    <pic:cNvPr id="0" name=""/>
                    <pic:cNvPicPr/>
                  </pic:nvPicPr>
                  <pic:blipFill>
                    <a:blip r:embed="Rd5b99b9c015a4b0e">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44EFE886" w:rsidP="47668A30" w:rsidRDefault="44EFE886" w14:paraId="6DE761CC" w14:textId="4867171E">
      <w:pPr>
        <w:jc w:val="center"/>
      </w:pPr>
      <w:r>
        <w:br w:type="page"/>
      </w:r>
      <w:r w:rsidR="719DDE5F">
        <w:drawing>
          <wp:inline wp14:editId="6322CF95" wp14:anchorId="44126A68">
            <wp:extent cx="4572000" cy="3048000"/>
            <wp:effectExtent l="0" t="0" r="0" b="0"/>
            <wp:docPr id="1899334412" name="" descr="La loi de 1850 sur les écoles communes est peut-être surtout connue pour avoir accru les tensions entre catholiques et protestants au sujet des écoles ségréguées, mais elle a également conduit à la ségrégation raciale des élèves dans tout l’Ontario. Des responsables racistes des écoles publiques, des parents et des communautés ont utilisé cette loi pour empêcher les enfants noirs canadiens d’aller dans des écoles où il y avait des élèves blancs. La dernière école ségréguée de la province a fermé en 1965, grâce à l’activisme des parents et aux efforts du premier député noir de l’Ontario, Leonard Braithewaite.&#10;&#10;Groupe d'élèves, comprenant Jesse Henderson, Wilfred Simpson et Florence Kirtty, entre 1910 et 1930 (I0024782)" title="École."/>
            <wp:cNvGraphicFramePr>
              <a:graphicFrameLocks noChangeAspect="1"/>
            </wp:cNvGraphicFramePr>
            <a:graphic>
              <a:graphicData uri="http://schemas.openxmlformats.org/drawingml/2006/picture">
                <pic:pic>
                  <pic:nvPicPr>
                    <pic:cNvPr id="0" name=""/>
                    <pic:cNvPicPr/>
                  </pic:nvPicPr>
                  <pic:blipFill>
                    <a:blip r:embed="Re54f8d3c279b49e6">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4FB0943D" w:rsidP="47668A30" w:rsidRDefault="4FB0943D" w14:paraId="51D9DCD5" w14:textId="360DBE1D" w14:noSpellErr="1">
      <w:pPr>
        <w:jc w:val="center"/>
      </w:pPr>
      <w:r>
        <w:br w:type="page"/>
      </w:r>
      <w:r w:rsidR="4FB0943D">
        <w:drawing>
          <wp:inline wp14:editId="1AB57B3A" wp14:anchorId="603D5D28">
            <wp:extent cx="3048000" cy="4572000"/>
            <wp:effectExtent l="0" t="0" r="0" b="0"/>
            <wp:docPr id="577578716" name="" descr="Une photo en noir et blanc de l'architecte canadien Raymond Moriyama alors qu'il était enfant, de sa sœur Joan et de ses parents. Raymond est debout à gauche, Joan est à côté de lui au centre de la photo et sa mère est à droite. Son père se tient derrière le groupe, au centre. La famille est asiatique aux cheveux noirs. Raymond et son père portent des costumes et des cravates. Le costume de Raymond est de couleur plus claire que celui de son père. Joan porte une veste légère, une écharpe et un bonnet, ainsi que des chaussettes blanches jusqu'aux genoux. La mère de Raymond porte un chapeau de pilulier avec une plume et un léger voile, un manteau de fourrure et des talons hauts. Ils sont posés devant un fond d'illustration de fenêtre." title="F."/>
            <wp:cNvGraphicFramePr>
              <a:graphicFrameLocks noChangeAspect="1"/>
            </wp:cNvGraphicFramePr>
            <a:graphic>
              <a:graphicData uri="http://schemas.openxmlformats.org/drawingml/2006/picture">
                <pic:pic>
                  <pic:nvPicPr>
                    <pic:cNvPr id="0" name=""/>
                    <pic:cNvPicPr/>
                  </pic:nvPicPr>
                  <pic:blipFill>
                    <a:blip r:embed="R2e8953709779424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1378A994" w:rsidP="47668A30" w:rsidRDefault="1378A994" w14:paraId="7329838C" w14:textId="02C7AED6">
      <w:pPr>
        <w:jc w:val="center"/>
      </w:pPr>
      <w:r>
        <w:br w:type="page"/>
      </w:r>
      <w:r w:rsidR="2D468A6A">
        <w:drawing>
          <wp:inline wp14:editId="731674A6" wp14:anchorId="088A2006">
            <wp:extent cx="3048000" cy="4572000"/>
            <wp:effectExtent l="0" t="0" r="0" b="0"/>
            <wp:docPr id="2053370592" name="" descr="Cette photo montre la famille Moriyama, de Colombie-Britannique. Leur fils, Raymond (1929-), est un architecte primé. Peu après la prise de cette photo, la famille a été envoyée dans un camp d’internement en Colombie-Britannique avec d’autres Canadiens d’origine japonaise pendant la Seconde Guerre mondiale. Les Moriyama se sont ensuite installés à Hamilton, en Ontario. Raymond a ensuite étudié à l’Université de Toronto et à l’Université McGill.&#10;&#10;Portrait de famille de Raymond Moriyama, ses parents et sa sœur Joan, 20 décembre 1935 (I0020988)" title="Famille."/>
            <wp:cNvGraphicFramePr>
              <a:graphicFrameLocks noChangeAspect="1"/>
            </wp:cNvGraphicFramePr>
            <a:graphic>
              <a:graphicData uri="http://schemas.openxmlformats.org/drawingml/2006/picture">
                <pic:pic>
                  <pic:nvPicPr>
                    <pic:cNvPr id="0" name=""/>
                    <pic:cNvPicPr/>
                  </pic:nvPicPr>
                  <pic:blipFill>
                    <a:blip r:embed="Rb10e7eb8956c4290">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4176E539" w:rsidP="47668A30" w:rsidRDefault="4176E539" w14:paraId="7B317592" w14:textId="39AC4173" w14:noSpellErr="1">
      <w:pPr>
        <w:jc w:val="center"/>
      </w:pPr>
      <w:r>
        <w:br w:type="page"/>
      </w:r>
      <w:r w:rsidR="4176E539">
        <w:drawing>
          <wp:inline wp14:editId="467703E4" wp14:anchorId="0C396A33">
            <wp:extent cx="4572000" cy="3048000"/>
            <wp:effectExtent l="0" t="0" r="0" b="0"/>
            <wp:docPr id="66564181" name="" descr="Une photo en noir et blanc de deux hommes autochtones jouant des instruments. L'homme de gauche a les cheveux noirs et joue de la guitare, portant une veste zippée de couleur foncée sur une chemise à col, un pantalon de couleur sombre rentré dans des chaussettes écossaises et des bottes à lacets. L’homme de droite a les cheveux noirs et joue du violon, portant un chapeau de capitaine, une chemise à carreaux, un pantalon plus léger et des chaussures à lacets tout en fumant une cigarette. Ils sont tous deux assis sur un banc en bois devant un mur en bois, avec un plancher en bois en dessous." title="G."/>
            <wp:cNvGraphicFramePr>
              <a:graphicFrameLocks noChangeAspect="1"/>
            </wp:cNvGraphicFramePr>
            <a:graphic>
              <a:graphicData uri="http://schemas.openxmlformats.org/drawingml/2006/picture">
                <pic:pic>
                  <pic:nvPicPr>
                    <pic:cNvPr id="0" name=""/>
                    <pic:cNvPicPr/>
                  </pic:nvPicPr>
                  <pic:blipFill>
                    <a:blip r:embed="Rfd13a551b9eb436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120723D5" w:rsidP="47668A30" w:rsidRDefault="120723D5" w14:paraId="666FB360" w14:textId="6BA0BE43">
      <w:pPr>
        <w:jc w:val="center"/>
      </w:pPr>
      <w:r>
        <w:br w:type="page"/>
      </w:r>
      <w:r w:rsidR="3ED3E9C8">
        <w:drawing>
          <wp:inline wp14:editId="0B96F714" wp14:anchorId="53CDEFD5">
            <wp:extent cx="4572000" cy="3048000"/>
            <wp:effectExtent l="0" t="0" r="0" b="0"/>
            <wp:docPr id="1456754038" name="" descr="La Compagnie de la Baie d’Hudson a établi Lansdowne House comme poste de traite sur la rive du lac Attawapiskat en 1850. Les familles oji-cries locales, appelées par les colons la bande indienne de Lansdowne House après la signature du traité de la baie James en 1905, sont aujourd’hui connues sous le nom de Première Nation de Neskantaga.&#10;&#10;Musiciens jouant pour une danse carrée à Lansdowne House, 1956 (I0000389)" title="Guitare."/>
            <wp:cNvGraphicFramePr>
              <a:graphicFrameLocks noChangeAspect="1"/>
            </wp:cNvGraphicFramePr>
            <a:graphic>
              <a:graphicData uri="http://schemas.openxmlformats.org/drawingml/2006/picture">
                <pic:pic>
                  <pic:nvPicPr>
                    <pic:cNvPr id="0" name=""/>
                    <pic:cNvPicPr/>
                  </pic:nvPicPr>
                  <pic:blipFill>
                    <a:blip r:embed="R9738f9a86f3d4eeb">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2C1B5A9A" w:rsidP="47668A30" w:rsidRDefault="2C1B5A9A" w14:paraId="6C61EDAB" w14:textId="34312016">
      <w:pPr>
        <w:jc w:val="center"/>
      </w:pPr>
      <w:r>
        <w:br w:type="page"/>
      </w:r>
      <w:r w:rsidR="4B02F694">
        <w:drawing>
          <wp:inline wp14:editId="3B4AE6D7" wp14:anchorId="72355D1B">
            <wp:extent cx="3048000" cy="4572000"/>
            <wp:effectExtent l="0" t="0" r="0" b="0"/>
            <wp:docPr id="2129435883" name="" descr="Une photo en noir et blanc d'un oiseau sur une branche d'arbre. L'oiseau a de grands yeux et des trous d'oreille orientés vers l'avant, un bec court et pointu, un visage plat et un cercle de plumes autour de chaque œil, ainsi que des plumes qui ressemblent à deux cornes au sommet de sa tête. Il y a un soupçon flou d'un autre arbre en arrière-plan." title="H."/>
            <wp:cNvGraphicFramePr>
              <a:graphicFrameLocks noChangeAspect="1"/>
            </wp:cNvGraphicFramePr>
            <a:graphic>
              <a:graphicData uri="http://schemas.openxmlformats.org/drawingml/2006/picture">
                <pic:pic>
                  <pic:nvPicPr>
                    <pic:cNvPr id="0" name=""/>
                    <pic:cNvPicPr/>
                  </pic:nvPicPr>
                  <pic:blipFill>
                    <a:blip r:embed="R82bdf4419ee04e2a">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72899663" w:rsidP="72899663" w:rsidRDefault="72899663" w14:paraId="152E0E93" w14:textId="67E2FC8B">
      <w:pPr>
        <w:jc w:val="center"/>
      </w:pPr>
      <w:r>
        <w:br w:type="page"/>
      </w:r>
      <w:r w:rsidR="45AF4EE8">
        <w:drawing>
          <wp:inline wp14:editId="508F6E19" wp14:anchorId="75D9E463">
            <wp:extent cx="3048000" cy="4572000"/>
            <wp:effectExtent l="0" t="0" r="0" b="0"/>
            <wp:docPr id="334530218" name="" descr="Le Petit-duc maculé (Megascops asio) est commune dans l’est de l’Amérique du Nord. Ce petit hibou nocturne chasse à partir de perchoirs, souvent de vieux arbres, en utilisant son excellente ouïe pour repérer ses victimes, généralement dans des forêts ouvertes.&#10;&#10;« A screech owl, removed from its hole in&#10;High Park, Toronto », 1918 (I0022051)" title="Hibou."/>
            <wp:cNvGraphicFramePr>
              <a:graphicFrameLocks noChangeAspect="1"/>
            </wp:cNvGraphicFramePr>
            <a:graphic>
              <a:graphicData uri="http://schemas.openxmlformats.org/drawingml/2006/picture">
                <pic:pic>
                  <pic:nvPicPr>
                    <pic:cNvPr id="0" name=""/>
                    <pic:cNvPicPr/>
                  </pic:nvPicPr>
                  <pic:blipFill>
                    <a:blip r:embed="Rd2412429db88450a">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6AB03D60" w:rsidP="47668A30" w:rsidRDefault="6AB03D60" w14:paraId="5A60A69F" w14:textId="5ACFD047">
      <w:pPr>
        <w:jc w:val="center"/>
      </w:pPr>
      <w:r>
        <w:br w:type="page"/>
      </w:r>
      <w:r w:rsidR="22355502">
        <w:drawing>
          <wp:inline wp14:editId="0DE54620" wp14:anchorId="282055C4">
            <wp:extent cx="4572000" cy="3048000"/>
            <wp:effectExtent l="0" t="0" r="0" b="0"/>
            <wp:docPr id="230460078" name="" descr="Une photo en noir et blanc de sept assistantes médicales souriantes dans une salle d'administration de l'hôpital, assis autour d'une table en métal. Chacun porte un uniforme blanc, y compris une jupe et une casquette incurvée. De gauche à droite, les sept femmes sont: caucasiennes aux cheveux blonds; Noir aux cheveux noirs vérifiant une carte; Caucasien aux cheveux bruns et aux lunettes; Caucasien aux cheveux bruns et lunettes, lisant un document; blonde à lunettes; cheveux bruns; et aux cheveux bruns. À gauche, il y a un évier, à droite, il y a un babillard avec carte et en arrière-plan, une porte derrière un rideau à moitié ouvert." title="I."/>
            <wp:cNvGraphicFramePr>
              <a:graphicFrameLocks noChangeAspect="1"/>
            </wp:cNvGraphicFramePr>
            <a:graphic>
              <a:graphicData uri="http://schemas.openxmlformats.org/drawingml/2006/picture">
                <pic:pic>
                  <pic:nvPicPr>
                    <pic:cNvPr id="0" name=""/>
                    <pic:cNvPicPr/>
                  </pic:nvPicPr>
                  <pic:blipFill>
                    <a:blip r:embed="R8dc1cf398f264b52">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306A07F9" w:rsidP="47668A30" w:rsidRDefault="306A07F9" w14:paraId="599DE924" w14:textId="58396616">
      <w:pPr>
        <w:jc w:val="center"/>
      </w:pPr>
      <w:r>
        <w:br w:type="page"/>
      </w:r>
      <w:r w:rsidR="59F20027">
        <w:drawing>
          <wp:inline wp14:editId="2EFEA9C6" wp14:anchorId="19F533F1">
            <wp:extent cx="4572000" cy="3048000"/>
            <wp:effectExtent l="0" t="0" r="0" b="0"/>
            <wp:docPr id="1407503521" name="" descr="Jusqu’au milieu des années 1940, les femmes noires qui voulaient suivre une formation d’infirmière au Canada n’avaient guère de choix, car les écoles de médecine refusaient d’admettre des étudiantes infirmières non blanches. Cependant, avec l’arrivée d’un plus grand nombre de femmes sur le marché du travail en Ontario après la Seconde Guerre mondiale, la pression exercée par les groupes religieux et les associations professionnelles a contribué à faire reculer ces politiques racistes. La première cohorte d’infirmières canadiennes noires était diplômée des écoles d’infirmières au début des années 1950.&#10;&#10;Infirmières au nouvel Hôpital Mount Sinai, Toronto, 1965 (I0013833)" title="Infirmière."/>
            <wp:cNvGraphicFramePr>
              <a:graphicFrameLocks noChangeAspect="1"/>
            </wp:cNvGraphicFramePr>
            <a:graphic>
              <a:graphicData uri="http://schemas.openxmlformats.org/drawingml/2006/picture">
                <pic:pic>
                  <pic:nvPicPr>
                    <pic:cNvPr id="0" name=""/>
                    <pic:cNvPicPr/>
                  </pic:nvPicPr>
                  <pic:blipFill>
                    <a:blip r:embed="R3ca63c1f8d064ca2">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2A2FB56A" w:rsidP="47668A30" w:rsidRDefault="2A2FB56A" w14:paraId="432EFD64" w14:textId="0A73367D">
      <w:pPr>
        <w:jc w:val="center"/>
      </w:pPr>
      <w:r>
        <w:br w:type="page"/>
      </w:r>
      <w:r w:rsidR="6DF48C76">
        <w:drawing>
          <wp:inline wp14:editId="769093F5" wp14:anchorId="24FAC8C2">
            <wp:extent cx="4572000" cy="3048000"/>
            <wp:effectExtent l="0" t="0" r="0" b="0"/>
            <wp:docPr id="4263257" name="" descr="Photographie couleur de deux pages d'un journal intime, sur papier jauni avec écriture et illustrations noires. Les pages sont déchirées et tachées d'eau à plusieurs endroits. Sur la page de gauche, dix portraits de profil différents d'une jeune fille dessinés à l'encre; dans chaque portrait, les longs cheveux bouclés de la jeune fille sont disposés en pontytail bas ou en chignon à la nuque. Sur la page sont également inscrits les mots « Martha Hastie / Lindsay Ont. / 14 juillet 1881 -. / Journal - No. II ». La page de droite est remplie d'écriture manuscrite, date du jeudi 14 juillet 1881 en haut de la page. L'entrée décrit le père de Martha qui lui a acheté le journal ce jour-là, les convives de la famille, l'artisanat qu'elle avait fabriqué avec l'aide d'un ami de la famille et une femme qui avait visité le domicile de sa famille à la recherche de travail ce jour-là. " title="J."/>
            <wp:cNvGraphicFramePr>
              <a:graphicFrameLocks noChangeAspect="1"/>
            </wp:cNvGraphicFramePr>
            <a:graphic>
              <a:graphicData uri="http://schemas.openxmlformats.org/drawingml/2006/picture">
                <pic:pic>
                  <pic:nvPicPr>
                    <pic:cNvPr id="0" name=""/>
                    <pic:cNvPicPr/>
                  </pic:nvPicPr>
                  <pic:blipFill>
                    <a:blip r:embed="Rd6c2d3570796464a">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33FF48B4" w:rsidP="47668A30" w:rsidRDefault="33FF48B4" w14:paraId="20116048" w14:textId="2D3ED5EB">
      <w:pPr>
        <w:jc w:val="center"/>
      </w:pPr>
      <w:r>
        <w:br w:type="page"/>
      </w:r>
      <w:r w:rsidR="1E74617C">
        <w:drawing>
          <wp:inline wp14:editId="09793AF0" wp14:anchorId="420EE036">
            <wp:extent cx="4572000" cy="3048000"/>
            <wp:effectExtent l="0" t="0" r="0" b="0"/>
            <wp:docPr id="703515139" name="" descr="Lorsque nous lisons le journal intime de quelqu’un d’autre, nous y reconnaissons notre propre vie et avons un aperçu d’un autre temps et d’un autre endroit à travers les yeux de l’écrivain. Le journal intime présenté ici a appartenu à Martha Hastie, 13 ans, qui racontait sa vie à Lindsay et en Cornouailles.&#10;&#10;Autoportraits et première entrée de journal de Martha Hastie, 1881 (F 40 série C, MU 3300)" title="Journal."/>
            <wp:cNvGraphicFramePr>
              <a:graphicFrameLocks noChangeAspect="1"/>
            </wp:cNvGraphicFramePr>
            <a:graphic>
              <a:graphicData uri="http://schemas.openxmlformats.org/drawingml/2006/picture">
                <pic:pic>
                  <pic:nvPicPr>
                    <pic:cNvPr id="0" name=""/>
                    <pic:cNvPicPr/>
                  </pic:nvPicPr>
                  <pic:blipFill>
                    <a:blip r:embed="R44466a8d57b54b54">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0AF52739" w:rsidP="47668A30" w:rsidRDefault="0AF52739" w14:paraId="68514C06" w14:textId="43DA6ECA">
      <w:pPr>
        <w:jc w:val="center"/>
      </w:pPr>
      <w:r>
        <w:br w:type="page"/>
      </w:r>
      <w:r w:rsidR="73B8BC17">
        <w:drawing>
          <wp:inline wp14:editId="25135470" wp14:anchorId="432E53B0">
            <wp:extent cx="4572000" cy="3048000"/>
            <wp:effectExtent l="0" t="0" r="0" b="0"/>
            <wp:docPr id="2125332233" name="" descr="Illustration en noir et blanc dessinée au crayon sur papier, montrant un petit homme de race blanche aux cheveux blancs et moustache chevauchant un grand kangourou. Un foulard ruisselle derrière l'homme depuis son cou, avec le nom « FIELDING » écrit en minuscules lettres. Un petit chien noir et blanc est assis derrière l'homme à l'arrière du kangourou. L'animal est dessiné à mi-saut, se déplaçant de droite à gauche sur la page. Sous le kangourou se trouve un cadre carré sur la page, avec un texte à l'intérieur qui se lit comme suit: « Kangaroo' (Canada's National Debt) See it go ahead by leaps and bounds. » À droite de la boîte se trouve la signature de l'artiste - « N. McConnell. »" title="K."/>
            <wp:cNvGraphicFramePr>
              <a:graphicFrameLocks noChangeAspect="1"/>
            </wp:cNvGraphicFramePr>
            <a:graphic>
              <a:graphicData uri="http://schemas.openxmlformats.org/drawingml/2006/picture">
                <pic:pic>
                  <pic:nvPicPr>
                    <pic:cNvPr id="0" name=""/>
                    <pic:cNvPicPr/>
                  </pic:nvPicPr>
                  <pic:blipFill>
                    <a:blip r:embed="Raccc4b9b089d48d8">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0832E25" w:rsidP="47668A30" w:rsidRDefault="60832E25" w14:paraId="00B2AB80" w14:textId="0D8F4750">
      <w:pPr>
        <w:jc w:val="center"/>
      </w:pPr>
      <w:r>
        <w:br w:type="page"/>
      </w:r>
      <w:r w:rsidR="4275D611">
        <w:drawing>
          <wp:inline wp14:editId="029B10B7" wp14:anchorId="6D904371">
            <wp:extent cx="4572000" cy="3048000"/>
            <wp:effectExtent l="0" t="0" r="0" b="0"/>
            <wp:docPr id="1042211039" name="" descr="Les dessins éditoriaux apparaissent dans les journaux depuis le XVIIIe siècle et offrent le point de vue de l’artiste sur les événements de l’époque, offrant ainsi une précieuse fenêtre sur les attitudes et les opinions du passé. Dans cette caricature, l’artiste Newton McConnell utilise un kangourou pour laisser entendre que la dette nationale du Canada augmentait trop rapidement, en grande partie à cause de l’augmentation des dépenses pendant la Première Guerre mondiale sous le premier ministre Robert Borden.&#10;&#10;« 'Kangaroo' (Canada's National Debt) See it go ahead by leaps and bounds » [détail], vers 1914 (I0007602)" title="Kangaroo."/>
            <wp:cNvGraphicFramePr>
              <a:graphicFrameLocks noChangeAspect="1"/>
            </wp:cNvGraphicFramePr>
            <a:graphic>
              <a:graphicData uri="http://schemas.openxmlformats.org/drawingml/2006/picture">
                <pic:pic>
                  <pic:nvPicPr>
                    <pic:cNvPr id="0" name=""/>
                    <pic:cNvPicPr/>
                  </pic:nvPicPr>
                  <pic:blipFill>
                    <a:blip r:embed="R83d3951c21bb4871">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4626A33" w:rsidP="47668A30" w:rsidRDefault="64626A33" w14:paraId="28762299" w14:textId="4E99EA9F">
      <w:pPr>
        <w:jc w:val="center"/>
      </w:pPr>
      <w:r>
        <w:br w:type="page"/>
      </w:r>
      <w:r w:rsidR="26FC8DF2">
        <w:drawing>
          <wp:inline wp14:editId="65A5D63C" wp14:anchorId="1FEFD49C">
            <wp:extent cx="3048000" cy="4572000"/>
            <wp:effectExtent l="0" t="0" r="0" b="0"/>
            <wp:docPr id="555827735" name="" descr="Une photo couleur d'une femme de race blanche debout dans une serre tenant des sacs de laitue. Elle a des cheveux épais, bruns, mi-longs avec une frange et porte du maquillage, des boucles d'oreilles, un t-shirt à carreaux rouge et blanc et un tablier vert. La laitue est emballée dans du plastique transparent avec une bande blanche en haut qui dit «Laitue vivante» en texte rouge avec une feuille d'érable canadienne. Derrière elle, des rangées soignées pleines de laitue fraîche poussent dans des lits avec des tuyaux d'eau à côté d'eux. Le toit de la serre est incliné et est composé de tuyaux courbes recouverts de plastique blanc." title="L."/>
            <wp:cNvGraphicFramePr>
              <a:graphicFrameLocks noChangeAspect="1"/>
            </wp:cNvGraphicFramePr>
            <a:graphic>
              <a:graphicData uri="http://schemas.openxmlformats.org/drawingml/2006/picture">
                <pic:pic>
                  <pic:nvPicPr>
                    <pic:cNvPr id="0" name=""/>
                    <pic:cNvPicPr/>
                  </pic:nvPicPr>
                  <pic:blipFill>
                    <a:blip r:embed="R88848c9d141d4b80">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16213C5B" w:rsidP="47668A30" w:rsidRDefault="16213C5B" w14:paraId="747ACD56" w14:textId="0F0A46B0">
      <w:pPr>
        <w:jc w:val="center"/>
      </w:pPr>
      <w:r>
        <w:br w:type="page"/>
      </w:r>
      <w:r w:rsidR="50C33DE7">
        <w:drawing>
          <wp:inline wp14:editId="3B8E5DD4" wp14:anchorId="18F75454">
            <wp:extent cx="3048000" cy="4572000"/>
            <wp:effectExtent l="0" t="0" r="0" b="0"/>
            <wp:docPr id="1332078484" name="" descr="La laitue (Lactuca sativa) est une plante annuelle de la famille des marguerites. En Ontario, la laitue est cultivée en serre toute l’année, et en plein champ de juin à octobre.&#10;&#10;Femme tenant plusieurs sacs de laitue dans une serre de laitue, 12 juillet 1983 (I0004479)" title="Légumes."/>
            <wp:cNvGraphicFramePr>
              <a:graphicFrameLocks noChangeAspect="1"/>
            </wp:cNvGraphicFramePr>
            <a:graphic>
              <a:graphicData uri="http://schemas.openxmlformats.org/drawingml/2006/picture">
                <pic:pic>
                  <pic:nvPicPr>
                    <pic:cNvPr id="0" name=""/>
                    <pic:cNvPicPr/>
                  </pic:nvPicPr>
                  <pic:blipFill>
                    <a:blip r:embed="R20bb05bee87744d7">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52376198" w:rsidP="47668A30" w:rsidRDefault="52376198" w14:paraId="34F77A9E" w14:textId="27CF784F" w14:noSpellErr="1">
      <w:pPr>
        <w:jc w:val="center"/>
      </w:pPr>
      <w:r>
        <w:br w:type="page"/>
      </w:r>
      <w:r w:rsidR="52376198">
        <w:drawing>
          <wp:inline wp14:editId="7DE726D9" wp14:anchorId="7685FEE3">
            <wp:extent cx="4572000" cy="3048000"/>
            <wp:effectExtent l="0" t="0" r="0" b="0"/>
            <wp:docPr id="22882739" name="" descr="Une photo couleur d'une mère asiatique poussant ses deux enfants dans une poussette tout en faisant ses courses dans un stand de produits. La mère porte un débardeur blanc et un sac à dos vert avec des bretelles en cuir marron. L'enfant assis à l'arrière de la poussette porte un chapeau vert Ontario, terre nourricière et un sweat-shirt bleu Little Miss Sunshine. L'enfant avant porte un maillot de football bleu avec un col jaune. Derrière la famille, une femme de race blanche portant un collier de perles rouges et des boucles d'oreilles rouges, un t-shirt à rayures diagonales blanches et rouges et un pantalon à rayures verticales bleues et blanches regarde des carottes. Le stand présente des aliments frais dans des paniers et des boîtes sur des étagères en bois. À l'arrière-plan, une femme noire fait ses courses dans une combinaison noire et jaune à imprimé léopard devant d'autres acheteurs et entreprises." title="M."/>
            <wp:cNvGraphicFramePr>
              <a:graphicFrameLocks noChangeAspect="1"/>
            </wp:cNvGraphicFramePr>
            <a:graphic>
              <a:graphicData uri="http://schemas.openxmlformats.org/drawingml/2006/picture">
                <pic:pic>
                  <pic:nvPicPr>
                    <pic:cNvPr id="0" name=""/>
                    <pic:cNvPicPr/>
                  </pic:nvPicPr>
                  <pic:blipFill>
                    <a:blip r:embed="R5facfccc180248a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4EAD558B" w:rsidP="47668A30" w:rsidRDefault="4EAD558B" w14:paraId="0145C03C" w14:textId="1FD7BB54">
      <w:pPr>
        <w:jc w:val="center"/>
      </w:pPr>
      <w:r>
        <w:br w:type="page"/>
      </w:r>
      <w:r w:rsidR="6BD460D3">
        <w:drawing>
          <wp:inline wp14:editId="05793F71" wp14:anchorId="36AD35FC">
            <wp:extent cx="4572000" cy="3048000"/>
            <wp:effectExtent l="0" t="0" r="0" b="0"/>
            <wp:docPr id="1638030249" name="" descr="Le marché Kensington offre des produits alimentaires et des vêtements en plein air, au centre-ville de Toronto. Depuis les années 1850, le quartier a connu différentes vagues de nouveaux arrivants, notamment les familles victoriennes de colons britanniques de la classe moyenne supérieure (milieu du XIXe siècle) les immigrants juifs et italiens (du milieu du XIXe au début du XXe siècle), les immigrants portugais (années 1950), les immigrants indiens, chinois, coréens, vietnamiens et philippins (années 1970) et les réfugiés latino-américains (fin des années 1980).&#10;&#10;Produits agricoles, Marché-Kensington, Toronto, 19 juillet, 1986 (I0003235)" title="Marché."/>
            <wp:cNvGraphicFramePr>
              <a:graphicFrameLocks noChangeAspect="1"/>
            </wp:cNvGraphicFramePr>
            <a:graphic>
              <a:graphicData uri="http://schemas.openxmlformats.org/drawingml/2006/picture">
                <pic:pic>
                  <pic:nvPicPr>
                    <pic:cNvPr id="0" name=""/>
                    <pic:cNvPicPr/>
                  </pic:nvPicPr>
                  <pic:blipFill>
                    <a:blip r:embed="R5cf27b122cd34800">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4DA9FCDD" w:rsidP="47668A30" w:rsidRDefault="4DA9FCDD" w14:paraId="3769B27C" w14:textId="0E81E441">
      <w:pPr>
        <w:jc w:val="center"/>
      </w:pPr>
      <w:r>
        <w:br w:type="page"/>
      </w:r>
      <w:r w:rsidR="4B0B1704">
        <w:drawing>
          <wp:inline wp14:editId="2645C65A" wp14:anchorId="1AD7FE7C">
            <wp:extent cx="4572000" cy="3048000"/>
            <wp:effectExtent l="0" t="0" r="0" b="0"/>
            <wp:docPr id="715686573" name="" descr="Photo en noir et blanc d'un jeune garçon blanc nageant dans l'eau - sa tête est au-dessus de l'eau et ses pieds donnent des coups de pied à la surface, créant une grande éclaboussure à gauche de sa tête. Derrière le garçon, au loin, se trouve une plage de sable avec cinq voitures garées près du bord de l'eau. Plus loin, sur la plage se trouve une grande maison avec un toit de couleur foncée et un revêtement en bois de couleur claire, et un porche couvert entourant le bâtiment. À gauche de la maison se trouve un long bâtiment bas de couleur sombre avec un mât qui dépasse du sable d'un côté. À gauche de ce bâtiment se trouve un côté, partiellement coupé du cadre de l'image, qui se lit « HING » - probablement un panneau annonçant les fournitures et les locations « BATHING. »" title="N."/>
            <wp:cNvGraphicFramePr>
              <a:graphicFrameLocks noChangeAspect="1"/>
            </wp:cNvGraphicFramePr>
            <a:graphic>
              <a:graphicData uri="http://schemas.openxmlformats.org/drawingml/2006/picture">
                <pic:pic>
                  <pic:nvPicPr>
                    <pic:cNvPr id="0" name=""/>
                    <pic:cNvPicPr/>
                  </pic:nvPicPr>
                  <pic:blipFill>
                    <a:blip r:embed="R12c04d4ac4b146f5">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2969C9A5" w:rsidP="47668A30" w:rsidRDefault="2969C9A5" w14:paraId="0CBEA722" w14:textId="3875DA16">
      <w:pPr>
        <w:jc w:val="center"/>
      </w:pPr>
      <w:r>
        <w:br w:type="page"/>
      </w:r>
      <w:r w:rsidR="65DDA050">
        <w:drawing>
          <wp:inline wp14:editId="6379005E" wp14:anchorId="3BC19BFF">
            <wp:extent cx="4572000" cy="3048000"/>
            <wp:effectExtent l="0" t="0" r="0" b="0"/>
            <wp:docPr id="63400862" name="" descr="La plage de Wasaga se trouve sur les terres du Traité 18, sur le territoire traditionnel des Hurons-Wendat, des Pétuns et, plus récemment, des Algonquins. Le nom vient du mot algonquin « Nottawasaga », utilisé comme avertissement lorsque des groupes de pilleurs iroquois (Nottawa) ont été repérés à « l’embouchure de la rivière » (saga). Les chemins de fer construits au XIXe siècle ont amené des colons dans la région, tandis que l’émergence de l’industrie automobile dans les années 1920 a amélioré l’accès aux régions de chalets et a augmenté le nombre de touristes passant du temps à la plage de Wasaga.&#10;&#10;Garçon nageant dans la baie Georgienne en face de Wasaga Beach , vers 1925 (I0004624)" title="Nage."/>
            <wp:cNvGraphicFramePr>
              <a:graphicFrameLocks noChangeAspect="1"/>
            </wp:cNvGraphicFramePr>
            <a:graphic>
              <a:graphicData uri="http://schemas.openxmlformats.org/drawingml/2006/picture">
                <pic:pic>
                  <pic:nvPicPr>
                    <pic:cNvPr id="0" name=""/>
                    <pic:cNvPicPr/>
                  </pic:nvPicPr>
                  <pic:blipFill>
                    <a:blip r:embed="R4bca98954e194f29">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5AE0BF9C" w:rsidP="47668A30" w:rsidRDefault="5AE0BF9C" w14:paraId="02377052" w14:textId="10FF508C">
      <w:pPr>
        <w:jc w:val="center"/>
      </w:pPr>
      <w:r>
        <w:br w:type="page"/>
      </w:r>
      <w:r w:rsidR="3158C269">
        <w:drawing>
          <wp:inline wp14:editId="4E885A3A" wp14:anchorId="09EF9B00">
            <wp:extent cx="3048000" cy="4572000"/>
            <wp:effectExtent l="0" t="0" r="0" b="0"/>
            <wp:docPr id="171463844" name="" descr="Une photo couleur d'une femme, à partir de la taille, vérifiant l'une des dizaines d'oeufs sur un rouleau de machine. La femme est de race blanche aux cheveux bruns. Elle porte des lunettes et une chemise à col sous un pull gris avec une bande jaune et bleue sur la manche. Sur le côté gauche de la photo, il y a plus d'oeufs sur de grandes feuilles d'oeufs. La machine de mirage est verte et est presque entièrement remplie, avec quelques lacunes, mises en évidence par un projecteur invisible. Les feuilles d'oeufs sont violettes." title="O."/>
            <wp:cNvGraphicFramePr>
              <a:graphicFrameLocks noChangeAspect="1"/>
            </wp:cNvGraphicFramePr>
            <a:graphic>
              <a:graphicData uri="http://schemas.openxmlformats.org/drawingml/2006/picture">
                <pic:pic>
                  <pic:nvPicPr>
                    <pic:cNvPr id="0" name=""/>
                    <pic:cNvPicPr/>
                  </pic:nvPicPr>
                  <pic:blipFill>
                    <a:blip r:embed="R74d699be3d7b478f">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72899663" w:rsidP="72899663" w:rsidRDefault="72899663" w14:paraId="72524B8F" w14:textId="443E7D85">
      <w:pPr>
        <w:jc w:val="center"/>
      </w:pPr>
      <w:r>
        <w:br w:type="page"/>
      </w:r>
      <w:r w:rsidR="13F086AA">
        <w:drawing>
          <wp:inline wp14:editId="461DD929" wp14:anchorId="7F3F5D98">
            <wp:extent cx="3048000" cy="4572000"/>
            <wp:effectExtent l="0" t="0" r="0" b="0"/>
            <wp:docPr id="1708955223" name="" descr="Au Canada, le classement des œufs a commencé dans les années 1940 pour assurer la qualité et la salubrité des œufs de poule vendus aux consommateurs. Cette photo représente des œufs récoltés qu’on fait rouler au-dessus d’une lampe pour mieux voir les défauts intérieurs et les fissures dans la coquille. Une personne inspecte les œufs et ôte ceux qui sont fêlés, sales ou qui coulent, car ils présentent un risque plus élevé de contamination par la salmonelle. Les bons œufs sont ensuite pesés et triés par taille.&#10;&#10;Femme examinant les oeufs, 8 novembre , 1988 (I0003218)" title="Oeuf."/>
            <wp:cNvGraphicFramePr>
              <a:graphicFrameLocks noChangeAspect="1"/>
            </wp:cNvGraphicFramePr>
            <a:graphic>
              <a:graphicData uri="http://schemas.openxmlformats.org/drawingml/2006/picture">
                <pic:pic>
                  <pic:nvPicPr>
                    <pic:cNvPr id="0" name=""/>
                    <pic:cNvPicPr/>
                  </pic:nvPicPr>
                  <pic:blipFill>
                    <a:blip r:embed="R87f3e8f066d944c9">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62F7B116" w:rsidP="47668A30" w:rsidRDefault="62F7B116" w14:paraId="2DE12870" w14:textId="2EE39C8F" w14:noSpellErr="1">
      <w:pPr>
        <w:jc w:val="center"/>
      </w:pPr>
      <w:r>
        <w:br w:type="page"/>
      </w:r>
      <w:r w:rsidR="62F7B116">
        <w:drawing>
          <wp:inline wp14:editId="5A08E651" wp14:anchorId="133451AE">
            <wp:extent cx="4572000" cy="3048000"/>
            <wp:effectExtent l="0" t="0" r="0" b="0"/>
            <wp:docPr id="1580876286" name="" descr="Une photo couleur d'une famille dégustant un repas en plein air devant une cascade. En arrière-plan, la cascade passe sur de nombreux rochers le long d'une falaise et est entourée d'arbres à feuilles persistantes devant un ciel bleu légèrement nuageux. La famille caucasienne aux cheveux bruns se compose, de gauche à droite: d'un fils en chemise verte; un père portant un t-shirt blanc et un short; une mère portant un chapeau vert et une chemise écossaise verte; et une jeune fille portant une combinaison rouge sur une chemise verte. Ils apprécient les boissons dans des tasses, servies à partir de thermos." title="P."/>
            <wp:cNvGraphicFramePr>
              <a:graphicFrameLocks noChangeAspect="1"/>
            </wp:cNvGraphicFramePr>
            <a:graphic>
              <a:graphicData uri="http://schemas.openxmlformats.org/drawingml/2006/picture">
                <pic:pic>
                  <pic:nvPicPr>
                    <pic:cNvPr id="0" name=""/>
                    <pic:cNvPicPr/>
                  </pic:nvPicPr>
                  <pic:blipFill>
                    <a:blip r:embed="R3e3d27858970449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2DC4378F" w:rsidP="47668A30" w:rsidRDefault="2DC4378F" w14:paraId="1A0183F5" w14:textId="076914E4">
      <w:pPr>
        <w:jc w:val="center"/>
      </w:pPr>
      <w:r>
        <w:br w:type="page"/>
      </w:r>
      <w:r w:rsidR="49D380ED">
        <w:drawing>
          <wp:inline wp14:editId="58264E6C" wp14:anchorId="330E6BF1">
            <wp:extent cx="4572000" cy="3048000"/>
            <wp:effectExtent l="0" t="0" r="0" b="0"/>
            <wp:docPr id="756065834" name="" descr="Les chutes Aubrey se trouve sur les terres du Traité Robinson-Huron, situées dans un parc provincial sur le territoire traditionnel de la Première Nation de Mississauga, dans le nord de l’Ontario. D’une hauteur de 33 mètres (108 pieds), elles constituent les plus grandes chutes d’eau du bassin versant du lac Huron et comptent environ 25 chutes qui glissent sur une paroi en granit et se jettent dans une gorge.&#10;&#10;Pique-niqueurs aux chutes Aubrey, 1952 (I0005525)" title="Pique-nique."/>
            <wp:cNvGraphicFramePr>
              <a:graphicFrameLocks noChangeAspect="1"/>
            </wp:cNvGraphicFramePr>
            <a:graphic>
              <a:graphicData uri="http://schemas.openxmlformats.org/drawingml/2006/picture">
                <pic:pic>
                  <pic:nvPicPr>
                    <pic:cNvPr id="0" name=""/>
                    <pic:cNvPicPr/>
                  </pic:nvPicPr>
                  <pic:blipFill>
                    <a:blip r:embed="R4e60bd13dcb1493f">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756AC914" w:rsidP="47668A30" w:rsidRDefault="756AC914" w14:paraId="6C5F44AE" w14:textId="79C9031C">
      <w:pPr>
        <w:jc w:val="center"/>
      </w:pPr>
      <w:r>
        <w:br w:type="page"/>
      </w:r>
      <w:r w:rsidR="7FC41661">
        <w:drawing>
          <wp:inline wp14:editId="40CDBC0C" wp14:anchorId="0181B1CE">
            <wp:extent cx="4572000" cy="3048000"/>
            <wp:effectExtent l="0" t="0" r="0" b="0"/>
            <wp:docPr id="1235597152" name="" descr="Photo en noir et blanc de deux jeunes enfants assis sur une poutre en bois au bord de l'eau dans un port. Les deux enfants portent des chapeaux à larges bords, des chemises à col blanc et un pantalon long de couleur foncée. L'enfant à gauche est également en train de porter des bretelles. Derrière les enfants se trouve un bâtiment en briques sur un quai, avec une grande porte ouverte. De chaque côté de la porte, de petits conteneurs et boîtes sont empilés contre le mur du bâtiment. Plus loin sur l'eau se trouve un grand bateau à vapeur, avec le nom « ALEXANDRIA » imprimé en grosses lettres sur le côté de la roue à aubes du navire. Plus loin, derrière le bateau à vapeur, se trouve un rivage couvert de petits arbres et d'arbustes, avec trois maisons visibles à travers la broussaille." title="Q."/>
            <wp:cNvGraphicFramePr>
              <a:graphicFrameLocks noChangeAspect="1"/>
            </wp:cNvGraphicFramePr>
            <a:graphic>
              <a:graphicData uri="http://schemas.openxmlformats.org/drawingml/2006/picture">
                <pic:pic>
                  <pic:nvPicPr>
                    <pic:cNvPr id="0" name=""/>
                    <pic:cNvPicPr/>
                  </pic:nvPicPr>
                  <pic:blipFill>
                    <a:blip r:embed="Rffd10c0719b94e2f">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4F3AF14C" w:rsidP="47668A30" w:rsidRDefault="4F3AF14C" w14:paraId="128C3D3E" w14:textId="3BD3F268">
      <w:pPr>
        <w:jc w:val="center"/>
      </w:pPr>
      <w:r>
        <w:br w:type="page"/>
      </w:r>
      <w:r w:rsidR="530CE29E">
        <w:drawing>
          <wp:inline wp14:editId="1BEBBA8F" wp14:anchorId="4BA932F4">
            <wp:extent cx="4572000" cy="3048000"/>
            <wp:effectExtent l="0" t="0" r="0" b="0"/>
            <wp:docPr id="1091221466" name="" descr="Situé dans la baie de Quinte, Picton se trouve sur les terres de St. Regis Purchase (Traité 57), dans les territoires traditionnels des Hurons-Wendat et des Haudenosaunee. La région a longtemps servi de lieu de rassemblement naturel et de centre de distribution pour la campagne environnante. L’arrivée des colons européens dans les années 1780 en a fait un havre.&#10;&#10;S.S.Alexandria à quai dans le port de Picton, [entre 1898 et 1920] (I0013184)" title="Quai."/>
            <wp:cNvGraphicFramePr>
              <a:graphicFrameLocks noChangeAspect="1"/>
            </wp:cNvGraphicFramePr>
            <a:graphic>
              <a:graphicData uri="http://schemas.openxmlformats.org/drawingml/2006/picture">
                <pic:pic>
                  <pic:nvPicPr>
                    <pic:cNvPr id="0" name=""/>
                    <pic:cNvPicPr/>
                  </pic:nvPicPr>
                  <pic:blipFill>
                    <a:blip r:embed="R2de064f517354f2c">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069CBA27" w:rsidP="47668A30" w:rsidRDefault="069CBA27" w14:paraId="52176DEA" w14:textId="7C891993">
      <w:pPr>
        <w:jc w:val="center"/>
      </w:pPr>
      <w:r>
        <w:br w:type="page"/>
      </w:r>
      <w:r w:rsidR="6A4EF9F2">
        <w:drawing>
          <wp:inline wp14:editId="3E56A319" wp14:anchorId="4DD8E122">
            <wp:extent cx="4572000" cy="3048000"/>
            <wp:effectExtent l="0" t="0" r="0" b="0"/>
            <wp:docPr id="201041126" name="" descr="Une photo couleur prise par quelqu'un pour montrer le bas de ses jambes et de ses pieds. Ils portent un pantalon noir épais sur un pantalon blanc. Leurs pieds sont chacun attachés dans un cadre ovale en bois dur, composé de treillis, à l'aide de lacets en cuir brut. Ils sont debout au sommet de la neige." title="R."/>
            <wp:cNvGraphicFramePr>
              <a:graphicFrameLocks noChangeAspect="1"/>
            </wp:cNvGraphicFramePr>
            <a:graphic>
              <a:graphicData uri="http://schemas.openxmlformats.org/drawingml/2006/picture">
                <pic:pic>
                  <pic:nvPicPr>
                    <pic:cNvPr id="0" name=""/>
                    <pic:cNvPicPr/>
                  </pic:nvPicPr>
                  <pic:blipFill>
                    <a:blip r:embed="Rcbab7e22fafc4322">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00DEF9C3" w:rsidP="47668A30" w:rsidRDefault="00DEF9C3" w14:paraId="0654A8B4" w14:textId="18E5B70E">
      <w:pPr>
        <w:jc w:val="center"/>
      </w:pPr>
      <w:r>
        <w:br w:type="page"/>
      </w:r>
      <w:r w:rsidR="6FF8EE6B">
        <w:drawing>
          <wp:inline wp14:editId="5287A2EE" wp14:anchorId="0F06E2ED">
            <wp:extent cx="4572000" cy="3048000"/>
            <wp:effectExtent l="0" t="0" r="0" b="0"/>
            <wp:docPr id="1433107326" name="" descr="Utilisées dans tout le nord de l’Ontario, les raquettes de style cri ou ojibwé sont longues et étroites. Elles sont constituées de deux baguettes en bois maintenues ensemble par un laçage complexe de babiche (peau d’orignal), ce qui les rend idéales pour marcher dans la neige profonde.&#10;&#10;Les pieds de John Macfie, attachés aux raquettes à la mode Ojibwé/Cri, vers 1951 (I0012781)" title="Raquettes."/>
            <wp:cNvGraphicFramePr>
              <a:graphicFrameLocks noChangeAspect="1"/>
            </wp:cNvGraphicFramePr>
            <a:graphic>
              <a:graphicData uri="http://schemas.openxmlformats.org/drawingml/2006/picture">
                <pic:pic>
                  <pic:nvPicPr>
                    <pic:cNvPr id="0" name=""/>
                    <pic:cNvPicPr/>
                  </pic:nvPicPr>
                  <pic:blipFill>
                    <a:blip r:embed="Rcaad9c5cf3ca4f3e">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13435A58" w:rsidP="47668A30" w:rsidRDefault="13435A58" w14:paraId="185702DA" w14:textId="73D9F174">
      <w:pPr>
        <w:jc w:val="center"/>
      </w:pPr>
      <w:r>
        <w:br w:type="page"/>
      </w:r>
      <w:r w:rsidR="1FFB5B10">
        <w:drawing>
          <wp:inline wp14:editId="1E9EB1AF" wp14:anchorId="629579C5">
            <wp:extent cx="3048000" cy="4572000"/>
            <wp:effectExtent l="0" t="0" r="0" b="0"/>
            <wp:docPr id="61951475" name="" descr="Photo en noir et blanc d'un long serpent de couleur sombre rampant vers la caméra à travers une surface rocheuse. Le corps du serpent ondule latéralement, et sa bouche est ouverte." title="S."/>
            <wp:cNvGraphicFramePr>
              <a:graphicFrameLocks noChangeAspect="1"/>
            </wp:cNvGraphicFramePr>
            <a:graphic>
              <a:graphicData uri="http://schemas.openxmlformats.org/drawingml/2006/picture">
                <pic:pic>
                  <pic:nvPicPr>
                    <pic:cNvPr id="0" name=""/>
                    <pic:cNvPicPr/>
                  </pic:nvPicPr>
                  <pic:blipFill>
                    <a:blip r:embed="Rb236a5f3fcc043a3">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7B55F4B2" w:rsidP="47668A30" w:rsidRDefault="7B55F4B2" w14:paraId="508E230E" w14:textId="134909AE">
      <w:pPr>
        <w:jc w:val="center"/>
      </w:pPr>
      <w:r>
        <w:br w:type="page"/>
      </w:r>
      <w:r w:rsidR="573ED828">
        <w:drawing>
          <wp:inline wp14:editId="7F464755" wp14:anchorId="56659E2F">
            <wp:extent cx="3048000" cy="4572000"/>
            <wp:effectExtent l="0" t="0" r="0" b="0"/>
            <wp:docPr id="1496526833" name="" descr="La couleuvre obscure (Pantherophis spiloides) est le plus grand serpent du Canada. Elle peut atteindre 2,5 m de long et n’est pas venimeuse. L’espèce est menacée dans l’est de l’Ontario, car une grande partie de son habitat a été occupée par l’homme.&#10;&#10;Serpent au sol à Grassy Point, lac Charleston, 1908 (I0013601)" title="Serpent."/>
            <wp:cNvGraphicFramePr>
              <a:graphicFrameLocks noChangeAspect="1"/>
            </wp:cNvGraphicFramePr>
            <a:graphic>
              <a:graphicData uri="http://schemas.openxmlformats.org/drawingml/2006/picture">
                <pic:pic>
                  <pic:nvPicPr>
                    <pic:cNvPr id="0" name=""/>
                    <pic:cNvPicPr/>
                  </pic:nvPicPr>
                  <pic:blipFill>
                    <a:blip r:embed="R4a35aa6447114e9f">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015D4C47" w:rsidP="47668A30" w:rsidRDefault="015D4C47" w14:paraId="1ACEA78A" w14:textId="066EC970" w14:noSpellErr="1">
      <w:pPr>
        <w:jc w:val="center"/>
      </w:pPr>
      <w:r>
        <w:br w:type="page"/>
      </w:r>
      <w:r w:rsidR="015D4C47">
        <w:drawing>
          <wp:inline wp14:editId="7AE6936B" wp14:anchorId="77BD9A53">
            <wp:extent cx="4572000" cy="3048000"/>
            <wp:effectExtent l="0" t="0" r="0" b="0"/>
            <wp:docPr id="1537530176" name="" descr="Une photo en noir et blanc de la vue de face d'un train à l'intérieur d'un passage souterrain. Le train est de couleur sombre avec une lecture de texte en blanc, « St Clair Tunnel Co. » d'un côté et « 1305 » de l'autre. Deux employés de train de race blanche se tiennent devant le train. Ils portent des chapeaux de capitaine et des chemises à col blanc et des cravates sous de longs manteaux sombres. L'homme à droite a une moustache. Les voies ferrées apparaissent en bas de la photo." title="T."/>
            <wp:cNvGraphicFramePr>
              <a:graphicFrameLocks noChangeAspect="1"/>
            </wp:cNvGraphicFramePr>
            <a:graphic>
              <a:graphicData uri="http://schemas.openxmlformats.org/drawingml/2006/picture">
                <pic:pic>
                  <pic:nvPicPr>
                    <pic:cNvPr id="0" name=""/>
                    <pic:cNvPicPr/>
                  </pic:nvPicPr>
                  <pic:blipFill>
                    <a:blip r:embed="R6c907e16ab604a5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42C0B1FD" w:rsidP="47668A30" w:rsidRDefault="42C0B1FD" w14:paraId="19B7BBF2" w14:textId="4B6C0AA4">
      <w:pPr>
        <w:jc w:val="center"/>
      </w:pPr>
      <w:r>
        <w:br w:type="page"/>
      </w:r>
      <w:r w:rsidR="54A800B5">
        <w:drawing>
          <wp:inline wp14:editId="33E68C3B" wp14:anchorId="799CCE14">
            <wp:extent cx="4572000" cy="3048000"/>
            <wp:effectExtent l="0" t="0" r="0" b="0"/>
            <wp:docPr id="2101550529" name="" descr="En 1891, la compagnie du tunnel St-Clair a ouvert le premier tunnel ferroviaire sous-marin en Amérique du Nord, pour transporter des marchandises entre Sarnia (Ontario) et Port Huron (Michigan). Au début, des trains à vapeur tiraient les marchandises à travers le tunnel, mais en 1908, ils ont été remplacés par des locomotives électriques. Le tunnel St-Clair est toujours utilisé aujourd’hui!&#10;&#10;Train dans le tunnel St-Clair, 1909 (I0003389)" title="Tunnel."/>
            <wp:cNvGraphicFramePr>
              <a:graphicFrameLocks noChangeAspect="1"/>
            </wp:cNvGraphicFramePr>
            <a:graphic>
              <a:graphicData uri="http://schemas.openxmlformats.org/drawingml/2006/picture">
                <pic:pic>
                  <pic:nvPicPr>
                    <pic:cNvPr id="0" name=""/>
                    <pic:cNvPicPr/>
                  </pic:nvPicPr>
                  <pic:blipFill>
                    <a:blip r:embed="R248e1d6e4a514bd6">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18E4AFB1" w:rsidP="47668A30" w:rsidRDefault="18E4AFB1" w14:paraId="340922FB" w14:textId="1A935387" w14:noSpellErr="1">
      <w:pPr>
        <w:jc w:val="center"/>
      </w:pPr>
      <w:r>
        <w:br w:type="page"/>
      </w:r>
      <w:r w:rsidR="18E4AFB1">
        <w:drawing>
          <wp:inline wp14:editId="1CCBA501" wp14:anchorId="3931EE68">
            <wp:extent cx="4572000" cy="3048000"/>
            <wp:effectExtent l="0" t="0" r="0" b="0"/>
            <wp:docPr id="1411930716" name="" descr="Une photo en noir et blanc de soldats noirs. Neuf hommes sont au premier plan, debout en ligne horizontale dans leur tenue militaire et posant avec de longs fusils. Quatre autres hommes peuvent être vus avec plus de désinvolture en arrière-plan, trois portant également des vêtements de soldats, tandis que le quatrième est habillé comme un civil. Ils se tiennent sur un chemin de terre devant deux bâtiments en bois, l'un avec une fenêtre à gauche, et l'autre avec une porte ouverte, à droite, avec une clôture entre eux." title="U."/>
            <wp:cNvGraphicFramePr>
              <a:graphicFrameLocks noChangeAspect="1"/>
            </wp:cNvGraphicFramePr>
            <a:graphic>
              <a:graphicData uri="http://schemas.openxmlformats.org/drawingml/2006/picture">
                <pic:pic>
                  <pic:nvPicPr>
                    <pic:cNvPr id="0" name=""/>
                    <pic:cNvPicPr/>
                  </pic:nvPicPr>
                  <pic:blipFill>
                    <a:blip r:embed="R574393c58f5149d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5C69401F" w:rsidP="47668A30" w:rsidRDefault="5C69401F" w14:paraId="76E40806" w14:textId="63FEB252">
      <w:pPr>
        <w:jc w:val="center"/>
      </w:pPr>
      <w:r>
        <w:br w:type="page"/>
      </w:r>
      <w:r w:rsidR="15F3D980">
        <w:drawing>
          <wp:inline wp14:editId="712BA595" wp14:anchorId="1D67F5B5">
            <wp:extent cx="4572000" cy="3048000"/>
            <wp:effectExtent l="0" t="0" r="0" b="0"/>
            <wp:docPr id="1882350530" name="" descr="On peut voir sur cette photo des soldats du 2e bataillon de construction, dont certains proviennent de l’Ontario. Le bataillon a été formé en Nouvelle-Écosse en 1916 et constitue la première grande unité militaire noire de l’histoire du Canada. Ce bataillon séparé comprenait des soldats de tout le pays, et s’est vu confier des rôles de soutien non destinés au combat pendant la guerre. Alors que la plupart des soldats de retour au pays étaient reconnus comme des héros, les hommes du « bataillon noir » n’ont reçu une juste reconnaissance que des décennies plus tard.&#10;&#10;Soldats, 1918 (I0024831)" title="Uniforme."/>
            <wp:cNvGraphicFramePr>
              <a:graphicFrameLocks noChangeAspect="1"/>
            </wp:cNvGraphicFramePr>
            <a:graphic>
              <a:graphicData uri="http://schemas.openxmlformats.org/drawingml/2006/picture">
                <pic:pic>
                  <pic:nvPicPr>
                    <pic:cNvPr id="0" name=""/>
                    <pic:cNvPicPr/>
                  </pic:nvPicPr>
                  <pic:blipFill>
                    <a:blip r:embed="R2494803a5bcc4a49">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27CB0BC2" w:rsidP="47668A30" w:rsidRDefault="27CB0BC2" w14:paraId="42FBF282" w14:textId="44EC58FA">
      <w:pPr>
        <w:jc w:val="center"/>
      </w:pPr>
      <w:r>
        <w:br w:type="page"/>
      </w:r>
      <w:r w:rsidR="74487951">
        <w:drawing>
          <wp:inline wp14:editId="544C8388" wp14:anchorId="1238FE3B">
            <wp:extent cx="4572000" cy="3048000"/>
            <wp:effectExtent l="0" t="0" r="0" b="0"/>
            <wp:docPr id="9766112" name="" descr="Photo en noir et blanc montrant une foule de personnes entourant une vache. La vache est de couleur claire, porte un licou et fait face au côté droit du cadre. Une femme vêtue d'une robe de couleur foncée avec un tablier blanc est assise à côté de l'arrière-train de la vache, face à la caméra, trayant l'animal. À gauche de la vache et de la femme, un policier en uniforme se tient devant la foule, tendant le bras gauche pour empêcher les spectateurs d'approcher l'animal. La foule remplit le cadre derrière la vache et comprend de nombreux enfants, six hommes et trois femmes; tous sont des manteaux wewawring et beaucoup portent des chapeaux. Les gens dans la foule regardent la vache, la caméra et hors cadre. Derrière la foule, trois arbres sans feuilles et plusieurs bâtiments au loin." title="V."/>
            <wp:cNvGraphicFramePr>
              <a:graphicFrameLocks noChangeAspect="1"/>
            </wp:cNvGraphicFramePr>
            <a:graphic>
              <a:graphicData uri="http://schemas.openxmlformats.org/drawingml/2006/picture">
                <pic:pic>
                  <pic:nvPicPr>
                    <pic:cNvPr id="0" name=""/>
                    <pic:cNvPicPr/>
                  </pic:nvPicPr>
                  <pic:blipFill>
                    <a:blip r:embed="R17e80b9e3732441e">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2DE8F994" w:rsidP="47668A30" w:rsidRDefault="2DE8F994" w14:paraId="2B5D61DC" w14:textId="1115A4BF">
      <w:pPr>
        <w:jc w:val="center"/>
      </w:pPr>
      <w:r>
        <w:br w:type="page"/>
      </w:r>
      <w:r w:rsidR="2CF7551D">
        <w:drawing>
          <wp:inline wp14:editId="17FCA449" wp14:anchorId="6BC5E500">
            <wp:extent cx="4572000" cy="3048000"/>
            <wp:effectExtent l="0" t="0" r="0" b="0"/>
            <wp:docPr id="854652517" name="" descr="Après le décès de sa fille en bas âge, victime de la typhoïde contractée par du lait contaminé, le médecin de Toronto Charles Hastings s’est servi de sa situation professionnelle pour pousser les laiteries à adopter la pasteurisation en 1914 et a travaillé à éduquer les citoyens sur l’importance des normes de salubrité alimentaire. En avril 1921, la ville a fait la promotion de la consommation de lait sain pendant la « Semaine du lait » au moyen d’affiches, de chansons et de traites publiques des vaches par d’éminents Torontois.&#10;&#10;Dr Margaret Patterson, coordonnatrice en matière de santé à l’échelle nationale, trayant une vache dans un parc public, Toronto, 1921 (I0005261)" title="Vache."/>
            <wp:cNvGraphicFramePr>
              <a:graphicFrameLocks noChangeAspect="1"/>
            </wp:cNvGraphicFramePr>
            <a:graphic>
              <a:graphicData uri="http://schemas.openxmlformats.org/drawingml/2006/picture">
                <pic:pic>
                  <pic:nvPicPr>
                    <pic:cNvPr id="0" name=""/>
                    <pic:cNvPicPr/>
                  </pic:nvPicPr>
                  <pic:blipFill>
                    <a:blip r:embed="R56df965ba6484dce">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406A9CAE" w:rsidP="47668A30" w:rsidRDefault="406A9CAE" w14:paraId="090D89A9" w14:textId="4BCE05C0">
      <w:pPr>
        <w:jc w:val="center"/>
      </w:pPr>
      <w:r>
        <w:br w:type="page"/>
      </w:r>
      <w:r w:rsidR="1E8D3C4F">
        <w:drawing>
          <wp:inline wp14:editId="699DCAD2" wp14:anchorId="2C692A37">
            <wp:extent cx="4572000" cy="3048000"/>
            <wp:effectExtent l="0" t="0" r="0" b="0"/>
            <wp:docPr id="1214473469" name="" descr="Photo en noir et blanc d'un groupe d'enfants et d'adultes blancs devant un wagon. Dix des personnes sont debout en ligne le long du côté de la voiture, face à la caméra; à chaque extrémité de la ligne se trouvent deux hommes, vêtus de costumes. Dans la ligne, huit petits enfants - les garçons portent des chandails, des vestes et des chemises à col avec un pantalon, tandis que les filles portent des robes. Dans les escaliers de la voiture se trouvent deux autres personnes, dont au moins une femme plus âgée portant une jupe longue et un chapeau. Une bannière indiquant « Ministère de l'Éducation / Voiture scolaire des Chemins de fer nationaux du Canada / Nord de l'Ontario » est accrochée sur le côté de la voiture, derrière la file des hommes et des enfants." title="W."/>
            <wp:cNvGraphicFramePr>
              <a:graphicFrameLocks noChangeAspect="1"/>
            </wp:cNvGraphicFramePr>
            <a:graphic>
              <a:graphicData uri="http://schemas.openxmlformats.org/drawingml/2006/picture">
                <pic:pic>
                  <pic:nvPicPr>
                    <pic:cNvPr id="0" name=""/>
                    <pic:cNvPicPr/>
                  </pic:nvPicPr>
                  <pic:blipFill>
                    <a:blip r:embed="R5b1bd08c3f6e40f5">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1D36FE4C" w:rsidP="47668A30" w:rsidRDefault="1D36FE4C" w14:paraId="023B5246" w14:textId="73E9A6BE">
      <w:pPr>
        <w:jc w:val="center"/>
      </w:pPr>
      <w:r>
        <w:br w:type="page"/>
      </w:r>
      <w:r w:rsidR="4624404F">
        <w:drawing>
          <wp:inline wp14:editId="77CBC6B7" wp14:anchorId="376C5123">
            <wp:extent cx="4572000" cy="3048000"/>
            <wp:effectExtent l="0" t="0" r="0" b="0"/>
            <wp:docPr id="148536873" name="" descr="Au début du XXe siècle, les colons européens vivaient dans des communautés rurales du nord de l’Ontario. Lorsqu’une colonie comptait 12 enfants, on y construisait une école. Les enfants indigènes étaient habituellement envoyés dans les pensionnats. En 1926, la Compagnie des chemins de fer nationaux du Canada fait le don d’un wagon de bois pour faire une salle de classe pour les enfants dans un wagon. Sur cette photo on voit Fred Sloman avec un groupe d’étudiants près de Nandair, l’un des arrêts habituels sur son itinéraire.&#10;&#10;Voiture et classe d'école du Compagnie des chemins de fer nationaux du Canada à Nandair, inspecteur Gillies à gauche, professeur F. Sloman à droite, vers 1930 (I0020880)" title="Wagon."/>
            <wp:cNvGraphicFramePr>
              <a:graphicFrameLocks noChangeAspect="1"/>
            </wp:cNvGraphicFramePr>
            <a:graphic>
              <a:graphicData uri="http://schemas.openxmlformats.org/drawingml/2006/picture">
                <pic:pic>
                  <pic:nvPicPr>
                    <pic:cNvPr id="0" name=""/>
                    <pic:cNvPicPr/>
                  </pic:nvPicPr>
                  <pic:blipFill>
                    <a:blip r:embed="Rc4a12a4cd09a4d71">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284257EA" w:rsidP="47668A30" w:rsidRDefault="284257EA" w14:paraId="2619B830" w14:textId="297A4118" w14:noSpellErr="1">
      <w:pPr>
        <w:jc w:val="center"/>
      </w:pPr>
      <w:r>
        <w:br w:type="page"/>
      </w:r>
      <w:r w:rsidR="284257EA">
        <w:drawing>
          <wp:inline wp14:editId="34CCD925" wp14:anchorId="7C7DE84C">
            <wp:extent cx="4572000" cy="3048000"/>
            <wp:effectExtent l="0" t="0" r="0" b="0"/>
            <wp:docPr id="48668970" name="" descr="Une photo en noir et blanc de deux hommes de race blanche en costume, vus de derrière, se penchant au-dessus d'un bureau recouvert de livres et de papiers en regardant une photo recadrée et éclairée de l'intérieur de la poitrine de quelqu'un. L’homme de droite porte des lunettes et montre l’image de la cage thoracique d’une personne avec un abaisse-langue en bois. À l'arrière-plan, des classeurs, une chaise et un mur blanc uni." title="X."/>
            <wp:cNvGraphicFramePr>
              <a:graphicFrameLocks noChangeAspect="1"/>
            </wp:cNvGraphicFramePr>
            <a:graphic>
              <a:graphicData uri="http://schemas.openxmlformats.org/drawingml/2006/picture">
                <pic:pic>
                  <pic:nvPicPr>
                    <pic:cNvPr id="0" name=""/>
                    <pic:cNvPicPr/>
                  </pic:nvPicPr>
                  <pic:blipFill>
                    <a:blip r:embed="R1cb8c5f57fd1463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1CD08426" w:rsidP="47668A30" w:rsidRDefault="1CD08426" w14:paraId="0323775E" w14:textId="4937A8BE">
      <w:pPr>
        <w:jc w:val="center"/>
      </w:pPr>
      <w:r>
        <w:br w:type="page"/>
      </w:r>
      <w:r w:rsidR="4B717E29">
        <w:drawing>
          <wp:inline wp14:editId="00A44F23" wp14:anchorId="322880F9">
            <wp:extent cx="4572000" cy="3048000"/>
            <wp:effectExtent l="0" t="0" r="0" b="0"/>
            <wp:docPr id="983518855" name="" descr="Les rayons X sont un type de rayonnement électromagnétique de haute énergie. La radiographie par projection est utilisée en médecine pour produire des images d’un patient par rayonnement X, ce qui permet aux radiologues et aux médecins d’examiner à la fois le squelette et les tissus mous. La procédure et les images qui en résultent sont souvent simplement appelées « rayons X ».&#10;&#10;Deux hommes examinent une radiographie pulmonaire au laboratoire de la commission d’hygiène, vers 1928 (I0005238)" title="Rayons x."/>
            <wp:cNvGraphicFramePr>
              <a:graphicFrameLocks noChangeAspect="1"/>
            </wp:cNvGraphicFramePr>
            <a:graphic>
              <a:graphicData uri="http://schemas.openxmlformats.org/drawingml/2006/picture">
                <pic:pic>
                  <pic:nvPicPr>
                    <pic:cNvPr id="0" name=""/>
                    <pic:cNvPicPr/>
                  </pic:nvPicPr>
                  <pic:blipFill>
                    <a:blip r:embed="Re51f960ee8e14c52">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263DACB4" w:rsidP="47668A30" w:rsidRDefault="263DACB4" w14:paraId="55691D3D" w14:textId="495F82C1">
      <w:pPr>
        <w:jc w:val="center"/>
      </w:pPr>
      <w:r>
        <w:br w:type="page"/>
      </w:r>
      <w:r w:rsidR="4F85955C">
        <w:drawing>
          <wp:inline wp14:editId="0507120D" wp14:anchorId="61DBBC6A">
            <wp:extent cx="4572000" cy="3048000"/>
            <wp:effectExtent l="0" t="0" r="0" b="0"/>
            <wp:docPr id="191794220" name="" descr="Photo noir et blanc sépia montrant les yeux d'un jeune homme blanc, recadrée de façon à ce que seule la zone autour des yeux soit visible." title="Y."/>
            <wp:cNvGraphicFramePr>
              <a:graphicFrameLocks noChangeAspect="1"/>
            </wp:cNvGraphicFramePr>
            <a:graphic>
              <a:graphicData uri="http://schemas.openxmlformats.org/drawingml/2006/picture">
                <pic:pic>
                  <pic:nvPicPr>
                    <pic:cNvPr id="0" name=""/>
                    <pic:cNvPicPr/>
                  </pic:nvPicPr>
                  <pic:blipFill>
                    <a:blip r:embed="Rb22d69a9d9764444">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E2D0607" w:rsidP="47668A30" w:rsidRDefault="6E2D0607" w14:paraId="6E63A514" w14:textId="4A3C88DF">
      <w:pPr>
        <w:jc w:val="center"/>
      </w:pPr>
      <w:r>
        <w:br w:type="page"/>
      </w:r>
      <w:r w:rsidR="4A1654C5">
        <w:drawing>
          <wp:inline wp14:editId="516BCCE9" wp14:anchorId="2A888CF9">
            <wp:extent cx="4572000" cy="3048000"/>
            <wp:effectExtent l="0" t="0" r="0" b="0"/>
            <wp:docPr id="1506432094" name="" descr="En juillet 1915, un jeune homme nommé Harry Mason s’est enrôlé dans l’armée canadienne pour combattre pendant la Première Guerre mondiale. Tout au long de son service outre-mer, il écrivit à sa bien-aimée Sadie Arbuckle à Toronto. Leurs lettres offrent une fenêtre sur la vie à ceux qui ont fait la guerre et à ceux qui attendent des nouvelles en Ontario. Mason a été tué au combat le 28 avril 1917, lorsque son avion a été abattu au-dessus d’Arras, en France.&#10;&#10;Harry Mason en uniforme militaire [détail], vers 1914 (I0050214)" title="Yeux."/>
            <wp:cNvGraphicFramePr>
              <a:graphicFrameLocks noChangeAspect="1"/>
            </wp:cNvGraphicFramePr>
            <a:graphic>
              <a:graphicData uri="http://schemas.openxmlformats.org/drawingml/2006/picture">
                <pic:pic>
                  <pic:nvPicPr>
                    <pic:cNvPr id="0" name=""/>
                    <pic:cNvPicPr/>
                  </pic:nvPicPr>
                  <pic:blipFill>
                    <a:blip r:embed="R02d0e2ff571b4b0d">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7917C764" w:rsidP="47668A30" w:rsidRDefault="7917C764" w14:paraId="38B0E318" w14:textId="300A4F7F" w14:noSpellErr="1">
      <w:pPr>
        <w:jc w:val="center"/>
      </w:pPr>
      <w:r>
        <w:br w:type="page"/>
      </w:r>
      <w:r w:rsidR="7917C764">
        <w:drawing>
          <wp:inline wp14:editId="4C62999E" wp14:anchorId="4FB73F97">
            <wp:extent cx="4572000" cy="3048000"/>
            <wp:effectExtent l="0" t="0" r="0" b="0"/>
            <wp:docPr id="619269778" name="" descr="Une photo en noir et blanc d'une grande foule de gens de race blanche debout devant un éléphant clôturé. Le groupe est composé d'adultes et d'enfants, dont une femme et un garçon se penchant sur une poussette en osier. La clôture est composée de gros poteaux de brique avec du fer forgé entre eux et d'une chaîne verrouillée autour des portes. Seul le haut de l'éléphant est visible. La zone est entourée d'arbres. Un bâtiment couvert de lierre apparaît à gauche et une fontaine en pierre est à droite." title="Z."/>
            <wp:cNvGraphicFramePr>
              <a:graphicFrameLocks noChangeAspect="1"/>
            </wp:cNvGraphicFramePr>
            <a:graphic>
              <a:graphicData uri="http://schemas.openxmlformats.org/drawingml/2006/picture">
                <pic:pic>
                  <pic:nvPicPr>
                    <pic:cNvPr id="0" name=""/>
                    <pic:cNvPicPr/>
                  </pic:nvPicPr>
                  <pic:blipFill>
                    <a:blip r:embed="Rd029625f2373462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1EC3D668" w:rsidP="47668A30" w:rsidRDefault="1EC3D668" w14:paraId="3FC77F42" w14:textId="1D6231AE">
      <w:pPr>
        <w:jc w:val="center"/>
      </w:pPr>
      <w:r>
        <w:br w:type="page"/>
      </w:r>
      <w:r w:rsidR="654B5B86">
        <w:drawing>
          <wp:inline wp14:editId="6CE25D7D" wp14:anchorId="4B127053">
            <wp:extent cx="4572000" cy="3048000"/>
            <wp:effectExtent l="0" t="0" r="0" b="0"/>
            <wp:docPr id="77406116" name="" descr="En 1894, le zoo de Riverdale a ouvert ses portes dans l’est de Toronto, dans l’enceinte d’un parc municipal. La collection d’animaux a débuté avec des cerfs donnés par un conseiller municipal, et en 1902, le zoo comptait des faisans, des ocelots, un chameau, un dromadaire, un buffle, des singes, un ours, des lions, un éléphant et un hippopotame.&#10;&#10;Les éléphants au zoo Riverdale, Toronto, 1923 (I0003651)" title="Zoo."/>
            <wp:cNvGraphicFramePr>
              <a:graphicFrameLocks noChangeAspect="1"/>
            </wp:cNvGraphicFramePr>
            <a:graphic>
              <a:graphicData uri="http://schemas.openxmlformats.org/drawingml/2006/picture">
                <pic:pic>
                  <pic:nvPicPr>
                    <pic:cNvPr id="0" name=""/>
                    <pic:cNvPicPr/>
                  </pic:nvPicPr>
                  <pic:blipFill>
                    <a:blip r:embed="Rc7a0ce2a916a4daa">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sectPr>
      <w:pgSz w:w="15840" w:h="12240" w:orient="landscape"/>
      <w:pgMar w:top="1440" w:right="1440" w:bottom="1440" w:left="1440" w:header="720" w:footer="720" w:gutter="0"/>
      <w:cols w:space="720"/>
      <w:docGrid w:linePitch="360"/>
      <w:headerReference w:type="default" r:id="Rc985c9a0d93744bd"/>
      <w:footerReference w:type="default" r:id="R01d2e1bba62b47cb"/>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1920"/>
      <w:gridCol w:w="1920"/>
      <w:gridCol w:w="1920"/>
    </w:tblGrid>
    <w:tr w:rsidR="332BD677" w:rsidTr="332BD677" w14:paraId="413908DA">
      <w:tc>
        <w:tcPr>
          <w:tcW w:w="1920" w:type="dxa"/>
          <w:tcMar/>
        </w:tcPr>
        <w:p w:rsidR="332BD677" w:rsidP="332BD677" w:rsidRDefault="332BD677" w14:paraId="2C837536" w14:textId="3746F4AA">
          <w:pPr>
            <w:pStyle w:val="Header"/>
            <w:bidi w:val="0"/>
            <w:ind w:left="-115"/>
            <w:jc w:val="left"/>
          </w:pPr>
        </w:p>
      </w:tc>
      <w:tc>
        <w:tcPr>
          <w:tcW w:w="1920" w:type="dxa"/>
          <w:tcMar/>
        </w:tcPr>
        <w:p w:rsidR="332BD677" w:rsidP="332BD677" w:rsidRDefault="332BD677" w14:paraId="36AA69A2" w14:textId="53842971">
          <w:pPr>
            <w:pStyle w:val="Header"/>
            <w:bidi w:val="0"/>
            <w:jc w:val="center"/>
          </w:pPr>
        </w:p>
      </w:tc>
      <w:tc>
        <w:tcPr>
          <w:tcW w:w="1920" w:type="dxa"/>
          <w:tcMar/>
        </w:tcPr>
        <w:p w:rsidR="332BD677" w:rsidP="332BD677" w:rsidRDefault="332BD677" w14:paraId="5E701147" w14:textId="2B72958A">
          <w:pPr>
            <w:pStyle w:val="Header"/>
            <w:bidi w:val="0"/>
            <w:ind w:right="-115"/>
            <w:jc w:val="right"/>
          </w:pPr>
        </w:p>
      </w:tc>
    </w:tr>
  </w:tbl>
  <w:p w:rsidR="332BD677" w:rsidP="332BD677" w:rsidRDefault="332BD677" w14:paraId="399AC1BA" w14:textId="036E5F6C">
    <w:pPr>
      <w:pStyle w:val="Footer"/>
      <w:bidi w:val="0"/>
    </w:pPr>
  </w:p>
</w:ftr>
</file>

<file path=word/header.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1920"/>
      <w:gridCol w:w="1920"/>
      <w:gridCol w:w="1920"/>
    </w:tblGrid>
    <w:tr w:rsidR="332BD677" w:rsidTr="332BD677" w14:paraId="0F9067CA">
      <w:tc>
        <w:tcPr>
          <w:tcW w:w="1920" w:type="dxa"/>
          <w:tcMar/>
        </w:tcPr>
        <w:p w:rsidR="332BD677" w:rsidP="332BD677" w:rsidRDefault="332BD677" w14:paraId="37A0FC6E" w14:textId="19F4F080">
          <w:pPr>
            <w:pStyle w:val="Header"/>
            <w:bidi w:val="0"/>
            <w:ind w:left="-115"/>
            <w:jc w:val="left"/>
          </w:pPr>
        </w:p>
      </w:tc>
      <w:tc>
        <w:tcPr>
          <w:tcW w:w="1920" w:type="dxa"/>
          <w:tcMar/>
        </w:tcPr>
        <w:p w:rsidR="332BD677" w:rsidP="332BD677" w:rsidRDefault="332BD677" w14:paraId="2CB3B486" w14:textId="59990A8E">
          <w:pPr>
            <w:pStyle w:val="Header"/>
            <w:bidi w:val="0"/>
            <w:jc w:val="center"/>
          </w:pPr>
        </w:p>
      </w:tc>
      <w:tc>
        <w:tcPr>
          <w:tcW w:w="1920" w:type="dxa"/>
          <w:tcMar/>
        </w:tcPr>
        <w:p w:rsidR="332BD677" w:rsidP="332BD677" w:rsidRDefault="332BD677" w14:paraId="43099455" w14:textId="3E94864F">
          <w:pPr>
            <w:pStyle w:val="Header"/>
            <w:bidi w:val="0"/>
            <w:ind w:right="-115"/>
            <w:jc w:val="right"/>
          </w:pPr>
        </w:p>
      </w:tc>
    </w:tr>
  </w:tbl>
  <w:p w:rsidR="332BD677" w:rsidP="332BD677" w:rsidRDefault="332BD677" w14:paraId="50815A41" w14:textId="1BC48E5E">
    <w:pPr>
      <w:pStyle w:val="Header"/>
      <w:bidi w:val="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trackRevisions w:val="false"/>
  <w:proofState w:spelling="clean" w:grammar="dirty"/>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4:docId w14:val="07F1E50A"/>
  <w15:docId w15:val="{fdcea6ab-3367-4c2f-a9f4-c0cfb098e542}"/>
  <w:rsids>
    <w:rsidRoot w:val="07F1E50A"/>
    <w:rsid w:val="0028A7A2"/>
    <w:rsid w:val="005A5710"/>
    <w:rsid w:val="00DEF9C3"/>
    <w:rsid w:val="015D4C47"/>
    <w:rsid w:val="02457A7D"/>
    <w:rsid w:val="02CFD353"/>
    <w:rsid w:val="031A2306"/>
    <w:rsid w:val="031EF76B"/>
    <w:rsid w:val="0344AC44"/>
    <w:rsid w:val="0474654A"/>
    <w:rsid w:val="069CBA27"/>
    <w:rsid w:val="07524A6C"/>
    <w:rsid w:val="07F1E50A"/>
    <w:rsid w:val="08059631"/>
    <w:rsid w:val="0832E760"/>
    <w:rsid w:val="0A336541"/>
    <w:rsid w:val="0A59E9BF"/>
    <w:rsid w:val="0AB3A95C"/>
    <w:rsid w:val="0AF52739"/>
    <w:rsid w:val="0B8D5B49"/>
    <w:rsid w:val="0CA2CAF3"/>
    <w:rsid w:val="0D9F1EDF"/>
    <w:rsid w:val="0EB6D743"/>
    <w:rsid w:val="0EC38EA6"/>
    <w:rsid w:val="0F4D4D1D"/>
    <w:rsid w:val="0F7CBB54"/>
    <w:rsid w:val="0FA3BAFD"/>
    <w:rsid w:val="1003CE51"/>
    <w:rsid w:val="1061E9D8"/>
    <w:rsid w:val="10FB1379"/>
    <w:rsid w:val="1100471D"/>
    <w:rsid w:val="1173BD4A"/>
    <w:rsid w:val="120723D5"/>
    <w:rsid w:val="12A34C2A"/>
    <w:rsid w:val="13435A58"/>
    <w:rsid w:val="1378A994"/>
    <w:rsid w:val="13F086AA"/>
    <w:rsid w:val="1424F467"/>
    <w:rsid w:val="142EC5E9"/>
    <w:rsid w:val="148BC731"/>
    <w:rsid w:val="1497BC6A"/>
    <w:rsid w:val="14B69C29"/>
    <w:rsid w:val="15F3D980"/>
    <w:rsid w:val="160DE6E1"/>
    <w:rsid w:val="16213C5B"/>
    <w:rsid w:val="175023AE"/>
    <w:rsid w:val="17593578"/>
    <w:rsid w:val="1785D4F8"/>
    <w:rsid w:val="179E7BAC"/>
    <w:rsid w:val="18DA369A"/>
    <w:rsid w:val="18E4AFB1"/>
    <w:rsid w:val="191DBAFC"/>
    <w:rsid w:val="1985FDCC"/>
    <w:rsid w:val="1B68D3F5"/>
    <w:rsid w:val="1C45C4E1"/>
    <w:rsid w:val="1C61ECD7"/>
    <w:rsid w:val="1CD08426"/>
    <w:rsid w:val="1CFDD385"/>
    <w:rsid w:val="1D08C5C0"/>
    <w:rsid w:val="1D0ACCC3"/>
    <w:rsid w:val="1D36FE4C"/>
    <w:rsid w:val="1DBC4DB9"/>
    <w:rsid w:val="1E74617C"/>
    <w:rsid w:val="1E747351"/>
    <w:rsid w:val="1E8D3C4F"/>
    <w:rsid w:val="1EC3D668"/>
    <w:rsid w:val="1FFB5B10"/>
    <w:rsid w:val="20FAD8AF"/>
    <w:rsid w:val="21C115B9"/>
    <w:rsid w:val="21F0E774"/>
    <w:rsid w:val="22355502"/>
    <w:rsid w:val="237F555B"/>
    <w:rsid w:val="23E3E468"/>
    <w:rsid w:val="2464C2DF"/>
    <w:rsid w:val="251F0CE1"/>
    <w:rsid w:val="26303AF2"/>
    <w:rsid w:val="263DACB4"/>
    <w:rsid w:val="2685C332"/>
    <w:rsid w:val="26FC8DF2"/>
    <w:rsid w:val="27C92A67"/>
    <w:rsid w:val="27C9CC77"/>
    <w:rsid w:val="27CB0BC2"/>
    <w:rsid w:val="27F6AD53"/>
    <w:rsid w:val="284257EA"/>
    <w:rsid w:val="28F945EF"/>
    <w:rsid w:val="2969C9A5"/>
    <w:rsid w:val="2A2FB56A"/>
    <w:rsid w:val="2AAEAAA2"/>
    <w:rsid w:val="2AC4F8FB"/>
    <w:rsid w:val="2BB0919E"/>
    <w:rsid w:val="2C1B5A9A"/>
    <w:rsid w:val="2C225B67"/>
    <w:rsid w:val="2C51C61D"/>
    <w:rsid w:val="2CD47A93"/>
    <w:rsid w:val="2CF7551D"/>
    <w:rsid w:val="2D468A6A"/>
    <w:rsid w:val="2D9E6732"/>
    <w:rsid w:val="2DC41823"/>
    <w:rsid w:val="2DC4378F"/>
    <w:rsid w:val="2DE8F994"/>
    <w:rsid w:val="306A07F9"/>
    <w:rsid w:val="30B95164"/>
    <w:rsid w:val="30D29DEE"/>
    <w:rsid w:val="30F57FCD"/>
    <w:rsid w:val="3158C269"/>
    <w:rsid w:val="320E6675"/>
    <w:rsid w:val="322652A4"/>
    <w:rsid w:val="3307E6C7"/>
    <w:rsid w:val="332BD677"/>
    <w:rsid w:val="33D7C7C7"/>
    <w:rsid w:val="33E84E2F"/>
    <w:rsid w:val="33FF48B4"/>
    <w:rsid w:val="34FA0F8D"/>
    <w:rsid w:val="358A959B"/>
    <w:rsid w:val="35E2A523"/>
    <w:rsid w:val="37011668"/>
    <w:rsid w:val="37C9BF1F"/>
    <w:rsid w:val="381A31AC"/>
    <w:rsid w:val="38F36509"/>
    <w:rsid w:val="39DBDA9B"/>
    <w:rsid w:val="3A62D913"/>
    <w:rsid w:val="3B50686A"/>
    <w:rsid w:val="3BA108F5"/>
    <w:rsid w:val="3C4C46AD"/>
    <w:rsid w:val="3D25C355"/>
    <w:rsid w:val="3D5C2623"/>
    <w:rsid w:val="3ED3E9C8"/>
    <w:rsid w:val="3FA5ACAF"/>
    <w:rsid w:val="406A9CAE"/>
    <w:rsid w:val="4176E539"/>
    <w:rsid w:val="41F57CA9"/>
    <w:rsid w:val="4275D611"/>
    <w:rsid w:val="42C0B1FD"/>
    <w:rsid w:val="42F3FD5A"/>
    <w:rsid w:val="43540C57"/>
    <w:rsid w:val="43D98C6E"/>
    <w:rsid w:val="43F8AF52"/>
    <w:rsid w:val="44002F41"/>
    <w:rsid w:val="44EFE886"/>
    <w:rsid w:val="45AF4EE8"/>
    <w:rsid w:val="4605348E"/>
    <w:rsid w:val="4624404F"/>
    <w:rsid w:val="468C8458"/>
    <w:rsid w:val="46B4E5D6"/>
    <w:rsid w:val="46EDACEE"/>
    <w:rsid w:val="47668A30"/>
    <w:rsid w:val="476A2774"/>
    <w:rsid w:val="481635AD"/>
    <w:rsid w:val="4851C825"/>
    <w:rsid w:val="497291E0"/>
    <w:rsid w:val="49D380ED"/>
    <w:rsid w:val="4A1654C5"/>
    <w:rsid w:val="4A390988"/>
    <w:rsid w:val="4AF02E34"/>
    <w:rsid w:val="4B02F694"/>
    <w:rsid w:val="4B0B1704"/>
    <w:rsid w:val="4B2F6091"/>
    <w:rsid w:val="4B4117A2"/>
    <w:rsid w:val="4B4D5A4E"/>
    <w:rsid w:val="4B717E29"/>
    <w:rsid w:val="4B8024DC"/>
    <w:rsid w:val="4D4A9F92"/>
    <w:rsid w:val="4DA9FCDD"/>
    <w:rsid w:val="4E4E35BF"/>
    <w:rsid w:val="4E7E931C"/>
    <w:rsid w:val="4EAD558B"/>
    <w:rsid w:val="4EC46C3E"/>
    <w:rsid w:val="4EFE4841"/>
    <w:rsid w:val="4F3AF14C"/>
    <w:rsid w:val="4F85955C"/>
    <w:rsid w:val="4F8BE74F"/>
    <w:rsid w:val="4FB0943D"/>
    <w:rsid w:val="4FE86954"/>
    <w:rsid w:val="50C33DE7"/>
    <w:rsid w:val="50E96C76"/>
    <w:rsid w:val="51409127"/>
    <w:rsid w:val="5237003D"/>
    <w:rsid w:val="52376198"/>
    <w:rsid w:val="526D22CC"/>
    <w:rsid w:val="530CE29E"/>
    <w:rsid w:val="533B897C"/>
    <w:rsid w:val="53A703DD"/>
    <w:rsid w:val="542281DA"/>
    <w:rsid w:val="54A800B5"/>
    <w:rsid w:val="54D7D46C"/>
    <w:rsid w:val="5509FD9D"/>
    <w:rsid w:val="565DA1DF"/>
    <w:rsid w:val="567B4280"/>
    <w:rsid w:val="573ED828"/>
    <w:rsid w:val="575D0419"/>
    <w:rsid w:val="577EAB61"/>
    <w:rsid w:val="5859C343"/>
    <w:rsid w:val="585AA3C8"/>
    <w:rsid w:val="58F77573"/>
    <w:rsid w:val="5946CE5B"/>
    <w:rsid w:val="594ED640"/>
    <w:rsid w:val="59AA5868"/>
    <w:rsid w:val="59DA1E42"/>
    <w:rsid w:val="59F20027"/>
    <w:rsid w:val="5A02F465"/>
    <w:rsid w:val="5A4CB894"/>
    <w:rsid w:val="5A6601B7"/>
    <w:rsid w:val="5A9F720F"/>
    <w:rsid w:val="5AE0BF9C"/>
    <w:rsid w:val="5B01F565"/>
    <w:rsid w:val="5B94E99F"/>
    <w:rsid w:val="5C69401F"/>
    <w:rsid w:val="5D06C5FA"/>
    <w:rsid w:val="5DC99379"/>
    <w:rsid w:val="5E06C7B1"/>
    <w:rsid w:val="5E649140"/>
    <w:rsid w:val="5E7521C8"/>
    <w:rsid w:val="5EB58BC4"/>
    <w:rsid w:val="5ED23BC0"/>
    <w:rsid w:val="5FE006C0"/>
    <w:rsid w:val="60723751"/>
    <w:rsid w:val="60832E25"/>
    <w:rsid w:val="61F7BF21"/>
    <w:rsid w:val="61FF52AC"/>
    <w:rsid w:val="62223838"/>
    <w:rsid w:val="6229781B"/>
    <w:rsid w:val="62A3EA40"/>
    <w:rsid w:val="62F7B116"/>
    <w:rsid w:val="6325D074"/>
    <w:rsid w:val="6343DC9F"/>
    <w:rsid w:val="6375F0A0"/>
    <w:rsid w:val="63B291A5"/>
    <w:rsid w:val="63B689EA"/>
    <w:rsid w:val="640FFA6C"/>
    <w:rsid w:val="6442FA99"/>
    <w:rsid w:val="64626A33"/>
    <w:rsid w:val="654B5B86"/>
    <w:rsid w:val="6594BCC8"/>
    <w:rsid w:val="65AC971B"/>
    <w:rsid w:val="65DDA050"/>
    <w:rsid w:val="65F42225"/>
    <w:rsid w:val="6656AA16"/>
    <w:rsid w:val="667316B7"/>
    <w:rsid w:val="66DCFF29"/>
    <w:rsid w:val="66DD3EAD"/>
    <w:rsid w:val="6705AD64"/>
    <w:rsid w:val="685F3818"/>
    <w:rsid w:val="68FB45F8"/>
    <w:rsid w:val="69E5E8B4"/>
    <w:rsid w:val="6A4EF9F2"/>
    <w:rsid w:val="6AB03D60"/>
    <w:rsid w:val="6B09E467"/>
    <w:rsid w:val="6BAAEF04"/>
    <w:rsid w:val="6BD460D3"/>
    <w:rsid w:val="6C08C434"/>
    <w:rsid w:val="6C7F536B"/>
    <w:rsid w:val="6C9A2125"/>
    <w:rsid w:val="6D7107E5"/>
    <w:rsid w:val="6DF48C76"/>
    <w:rsid w:val="6E2D0607"/>
    <w:rsid w:val="6E52C41D"/>
    <w:rsid w:val="6E65C59F"/>
    <w:rsid w:val="6EAE069A"/>
    <w:rsid w:val="6FF8EE6B"/>
    <w:rsid w:val="70801416"/>
    <w:rsid w:val="70F8849A"/>
    <w:rsid w:val="713CB176"/>
    <w:rsid w:val="718CC47E"/>
    <w:rsid w:val="719DDE5F"/>
    <w:rsid w:val="727D55BF"/>
    <w:rsid w:val="72899663"/>
    <w:rsid w:val="72D9EB9C"/>
    <w:rsid w:val="73B8BC17"/>
    <w:rsid w:val="74487951"/>
    <w:rsid w:val="74C89949"/>
    <w:rsid w:val="756AC914"/>
    <w:rsid w:val="766CD091"/>
    <w:rsid w:val="76D988F9"/>
    <w:rsid w:val="7860A1D3"/>
    <w:rsid w:val="788D3FD7"/>
    <w:rsid w:val="7917C764"/>
    <w:rsid w:val="794AE445"/>
    <w:rsid w:val="79C0DD9E"/>
    <w:rsid w:val="79DBF741"/>
    <w:rsid w:val="7ADE1FE7"/>
    <w:rsid w:val="7AF67052"/>
    <w:rsid w:val="7B55F4B2"/>
    <w:rsid w:val="7BE8FC70"/>
    <w:rsid w:val="7C95553D"/>
    <w:rsid w:val="7D91D2C4"/>
    <w:rsid w:val="7E19138E"/>
    <w:rsid w:val="7E1E3A14"/>
    <w:rsid w:val="7E91EE16"/>
    <w:rsid w:val="7F7B3A0F"/>
    <w:rsid w:val="7FC41661"/>
  </w:rsids>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character" w:styleId="HeaderChar" w:customStyle="1" mc:Ignorable="w14">
    <w:name xmlns:w="http://schemas.openxmlformats.org/wordprocessingml/2006/main" w:val="Header Char"/>
    <w:basedOn xmlns:w="http://schemas.openxmlformats.org/wordprocessingml/2006/main" w:val="DefaultParagraphFont"/>
    <w:link xmlns:w="http://schemas.openxmlformats.org/wordprocessingml/2006/main" w:val="Head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Header" mc:Ignorable="w14">
    <w:name xmlns:w="http://schemas.openxmlformats.org/wordprocessingml/2006/main" w:val="header"/>
    <w:basedOn xmlns:w="http://schemas.openxmlformats.org/wordprocessingml/2006/main" w:val="Normal"/>
    <w:link xmlns:w="http://schemas.openxmlformats.org/wordprocessingml/2006/main" w:val="Head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 xmlns:w14="http://schemas.microsoft.com/office/word/2010/wordml" xmlns:mc="http://schemas.openxmlformats.org/markup-compatibility/2006" xmlns:w="http://schemas.openxmlformats.org/wordprocessingml/2006/main" w:type="character" w:styleId="FooterChar" w:customStyle="1" mc:Ignorable="w14">
    <w:name xmlns:w="http://schemas.openxmlformats.org/wordprocessingml/2006/main" w:val="Footer Char"/>
    <w:basedOn xmlns:w="http://schemas.openxmlformats.org/wordprocessingml/2006/main" w:val="DefaultParagraphFont"/>
    <w:link xmlns:w="http://schemas.openxmlformats.org/wordprocessingml/2006/main" w:val="Foot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Footer" mc:Ignorable="w14">
    <w:name xmlns:w="http://schemas.openxmlformats.org/wordprocessingml/2006/main" w:val="footer"/>
    <w:basedOn xmlns:w="http://schemas.openxmlformats.org/wordprocessingml/2006/main" w:val="Normal"/>
    <w:link xmlns:w="http://schemas.openxmlformats.org/wordprocessingml/2006/main" w:val="Foot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webSettings" Target="/word/webSettings.xml" Id="rId3"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theme" Target="/word/theme/theme1.xml" Id="rId5" /><Relationship Type="http://schemas.openxmlformats.org/officeDocument/2006/relationships/fontTable" Target="/word/fontTable.xml" Id="rId4" /><Relationship Type="http://schemas.openxmlformats.org/officeDocument/2006/relationships/header" Target="/word/header.xml" Id="Rc985c9a0d93744bd" /><Relationship Type="http://schemas.openxmlformats.org/officeDocument/2006/relationships/footer" Target="/word/footer.xml" Id="R01d2e1bba62b47cb" /><Relationship Type="http://schemas.openxmlformats.org/officeDocument/2006/relationships/image" Target="/media/image69.jpg" Id="Recdbd4c8c7834d6f" /><Relationship Type="http://schemas.openxmlformats.org/officeDocument/2006/relationships/image" Target="/media/image6a.jpg" Id="R9565d6fc17e44f8e" /><Relationship Type="http://schemas.openxmlformats.org/officeDocument/2006/relationships/image" Target="/media/image6b.jpg" Id="Rc90086cfdfe84bce" /><Relationship Type="http://schemas.openxmlformats.org/officeDocument/2006/relationships/image" Target="/media/image6c.jpg" Id="R0a48f19cd71444d1" /><Relationship Type="http://schemas.openxmlformats.org/officeDocument/2006/relationships/image" Target="/media/image6d.jpg" Id="Rc0b52e4191494f18" /><Relationship Type="http://schemas.openxmlformats.org/officeDocument/2006/relationships/image" Target="/media/image6e.jpg" Id="Rcb5af9cf00b94434" /><Relationship Type="http://schemas.openxmlformats.org/officeDocument/2006/relationships/image" Target="/media/image6f.jpg" Id="Re4513b2fd2874655" /><Relationship Type="http://schemas.openxmlformats.org/officeDocument/2006/relationships/image" Target="/media/image70.jpg" Id="R8f658393233d4a33" /><Relationship Type="http://schemas.openxmlformats.org/officeDocument/2006/relationships/image" Target="/media/image71.jpg" Id="Rd5b99b9c015a4b0e" /><Relationship Type="http://schemas.openxmlformats.org/officeDocument/2006/relationships/image" Target="/media/image72.jpg" Id="Re54f8d3c279b49e6" /><Relationship Type="http://schemas.openxmlformats.org/officeDocument/2006/relationships/image" Target="/media/image73.jpg" Id="R2e89537097794240" /><Relationship Type="http://schemas.openxmlformats.org/officeDocument/2006/relationships/image" Target="/media/image74.jpg" Id="Rb10e7eb8956c4290" /><Relationship Type="http://schemas.openxmlformats.org/officeDocument/2006/relationships/image" Target="/media/image75.jpg" Id="Rfd13a551b9eb4363" /><Relationship Type="http://schemas.openxmlformats.org/officeDocument/2006/relationships/image" Target="/media/image76.jpg" Id="R9738f9a86f3d4eeb" /><Relationship Type="http://schemas.openxmlformats.org/officeDocument/2006/relationships/image" Target="/media/image77.jpg" Id="R82bdf4419ee04e2a" /><Relationship Type="http://schemas.openxmlformats.org/officeDocument/2006/relationships/image" Target="/media/image79.jpg" Id="R8dc1cf398f264b52" /><Relationship Type="http://schemas.openxmlformats.org/officeDocument/2006/relationships/image" Target="/media/image7a.jpg" Id="R3ca63c1f8d064ca2" /><Relationship Type="http://schemas.openxmlformats.org/officeDocument/2006/relationships/image" Target="/media/image7b.jpg" Id="Rd6c2d3570796464a" /><Relationship Type="http://schemas.openxmlformats.org/officeDocument/2006/relationships/image" Target="/media/image7c.jpg" Id="R44466a8d57b54b54" /><Relationship Type="http://schemas.openxmlformats.org/officeDocument/2006/relationships/image" Target="/media/image7d.jpg" Id="Raccc4b9b089d48d8" /><Relationship Type="http://schemas.openxmlformats.org/officeDocument/2006/relationships/image" Target="/media/image7e.jpg" Id="R83d3951c21bb4871" /><Relationship Type="http://schemas.openxmlformats.org/officeDocument/2006/relationships/image" Target="/media/image7f.jpg" Id="R88848c9d141d4b80" /><Relationship Type="http://schemas.openxmlformats.org/officeDocument/2006/relationships/image" Target="/media/image80.jpg" Id="R20bb05bee87744d7" /><Relationship Type="http://schemas.openxmlformats.org/officeDocument/2006/relationships/image" Target="/media/image81.jpg" Id="R5facfccc180248a5" /><Relationship Type="http://schemas.openxmlformats.org/officeDocument/2006/relationships/image" Target="/media/image82.jpg" Id="R5cf27b122cd34800" /><Relationship Type="http://schemas.openxmlformats.org/officeDocument/2006/relationships/image" Target="/media/image83.jpg" Id="R12c04d4ac4b146f5" /><Relationship Type="http://schemas.openxmlformats.org/officeDocument/2006/relationships/image" Target="/media/image84.jpg" Id="R4bca98954e194f29" /><Relationship Type="http://schemas.openxmlformats.org/officeDocument/2006/relationships/image" Target="/media/image85.jpg" Id="R74d699be3d7b478f" /><Relationship Type="http://schemas.openxmlformats.org/officeDocument/2006/relationships/image" Target="/media/image87.jpg" Id="R3e3d278589704491" /><Relationship Type="http://schemas.openxmlformats.org/officeDocument/2006/relationships/image" Target="/media/image88.jpg" Id="R4e60bd13dcb1493f" /><Relationship Type="http://schemas.openxmlformats.org/officeDocument/2006/relationships/image" Target="/media/image89.jpg" Id="Rffd10c0719b94e2f" /><Relationship Type="http://schemas.openxmlformats.org/officeDocument/2006/relationships/image" Target="/media/image8a.jpg" Id="R2de064f517354f2c" /><Relationship Type="http://schemas.openxmlformats.org/officeDocument/2006/relationships/image" Target="/media/image8b.jpg" Id="Rcbab7e22fafc4322" /><Relationship Type="http://schemas.openxmlformats.org/officeDocument/2006/relationships/image" Target="/media/image8c.jpg" Id="Rcaad9c5cf3ca4f3e" /><Relationship Type="http://schemas.openxmlformats.org/officeDocument/2006/relationships/image" Target="/media/image8d.jpg" Id="Rb236a5f3fcc043a3" /><Relationship Type="http://schemas.openxmlformats.org/officeDocument/2006/relationships/image" Target="/media/image8e.jpg" Id="R4a35aa6447114e9f" /><Relationship Type="http://schemas.openxmlformats.org/officeDocument/2006/relationships/image" Target="/media/image8f.jpg" Id="R6c907e16ab604a57" /><Relationship Type="http://schemas.openxmlformats.org/officeDocument/2006/relationships/image" Target="/media/image90.jpg" Id="R248e1d6e4a514bd6" /><Relationship Type="http://schemas.openxmlformats.org/officeDocument/2006/relationships/image" Target="/media/image91.jpg" Id="R574393c58f5149d7" /><Relationship Type="http://schemas.openxmlformats.org/officeDocument/2006/relationships/image" Target="/media/image92.jpg" Id="R2494803a5bcc4a49" /><Relationship Type="http://schemas.openxmlformats.org/officeDocument/2006/relationships/image" Target="/media/image93.jpg" Id="R17e80b9e3732441e" /><Relationship Type="http://schemas.openxmlformats.org/officeDocument/2006/relationships/image" Target="/media/image94.jpg" Id="R56df965ba6484dce" /><Relationship Type="http://schemas.openxmlformats.org/officeDocument/2006/relationships/image" Target="/media/image95.jpg" Id="R5b1bd08c3f6e40f5" /><Relationship Type="http://schemas.openxmlformats.org/officeDocument/2006/relationships/image" Target="/media/image96.jpg" Id="Rc4a12a4cd09a4d71" /><Relationship Type="http://schemas.openxmlformats.org/officeDocument/2006/relationships/image" Target="/media/image97.jpg" Id="R1cb8c5f57fd14638" /><Relationship Type="http://schemas.openxmlformats.org/officeDocument/2006/relationships/image" Target="/media/image98.jpg" Id="Re51f960ee8e14c52" /><Relationship Type="http://schemas.openxmlformats.org/officeDocument/2006/relationships/image" Target="/media/image99.jpg" Id="Rb22d69a9d9764444" /><Relationship Type="http://schemas.openxmlformats.org/officeDocument/2006/relationships/image" Target="/media/image9a.jpg" Id="R02d0e2ff571b4b0d" /><Relationship Type="http://schemas.openxmlformats.org/officeDocument/2006/relationships/image" Target="/media/image9b.jpg" Id="Rd029625f2373462e" /><Relationship Type="http://schemas.openxmlformats.org/officeDocument/2006/relationships/image" Target="/media/image9c.jpg" Id="Rc7a0ce2a916a4daa" /><Relationship Type="http://schemas.openxmlformats.org/officeDocument/2006/relationships/image" Target="/media/image35.jpg" Id="Rd2412429db88450a" /><Relationship Type="http://schemas.openxmlformats.org/officeDocument/2006/relationships/image" Target="/media/image36.jpg" Id="R87f3e8f066d944c9"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Office Word</ap:Application>
  <ap:DocSecurity>0</ap:DocSecurity>
  <ap:ScaleCrop>false</ap:ScaleCrop>
  <ap:Company/>
  <ap:SharedDoc>false</ap:SharedDoc>
  <ap:HyperlinksChanged>false</ap:HyperlinksChanged>
  <ap:AppVersion>00.0001</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2020-05-13T17:49:48.0559506Z</dcterms:created>
  <dcterms:modified xsi:type="dcterms:W3CDTF">2020-05-22T15:39:20.6724289Z</dcterms:modified>
  <dc:creator>Rotsztain, Jonathan (MGCS)</dc:creator>
  <lastModifiedBy>Rotsztain, Jonathan (MGCS)</lastModifiedBy>
</coreProperties>
</file>