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C43" w:rsidRDefault="00860C43" w:rsidP="00860C43"/>
    <w:p w:rsidR="00860C43" w:rsidRDefault="00860C43" w:rsidP="00860C43"/>
    <w:p w:rsidR="00860C43" w:rsidRDefault="00860C43" w:rsidP="00860C43">
      <w:pPr>
        <w:rPr>
          <w:rFonts w:ascii="Arial" w:hAnsi="Arial" w:cs="Arial"/>
        </w:rPr>
      </w:pPr>
    </w:p>
    <w:p w:rsidR="00860C43" w:rsidRPr="004E2567" w:rsidRDefault="00860C43" w:rsidP="004E2567">
      <w:pPr>
        <w:rPr>
          <w:rFonts w:ascii="Arial" w:hAnsi="Arial" w:cs="Arial"/>
          <w:sz w:val="28"/>
          <w:szCs w:val="28"/>
        </w:rPr>
      </w:pPr>
      <w:bookmarkStart w:id="0" w:name="_Toc467484544"/>
      <w:r w:rsidRPr="004E2567">
        <w:rPr>
          <w:rFonts w:ascii="Arial" w:hAnsi="Arial" w:cs="Arial"/>
          <w:sz w:val="28"/>
          <w:szCs w:val="28"/>
        </w:rPr>
        <w:t>Archives of Ontario Private Acquisitions Strategy</w:t>
      </w:r>
      <w:bookmarkEnd w:id="0"/>
    </w:p>
    <w:p w:rsidR="00860C43" w:rsidRPr="001E1AA8" w:rsidRDefault="00DD5EFA" w:rsidP="001E1AA8">
      <w:pPr>
        <w:pStyle w:val="Title"/>
        <w:rPr>
          <w:sz w:val="40"/>
          <w:szCs w:val="40"/>
        </w:rPr>
      </w:pPr>
      <w:bookmarkStart w:id="1" w:name="OLE_LINK1"/>
      <w:bookmarkStart w:id="2" w:name="OLE_LINK2"/>
      <w:bookmarkStart w:id="3" w:name="_Toc467484545"/>
      <w:r w:rsidRPr="001E1AA8">
        <w:rPr>
          <w:sz w:val="40"/>
          <w:szCs w:val="40"/>
        </w:rPr>
        <w:t xml:space="preserve">Analysis Report </w:t>
      </w:r>
      <w:r w:rsidR="00860C43" w:rsidRPr="001E1AA8">
        <w:rPr>
          <w:sz w:val="40"/>
          <w:szCs w:val="40"/>
        </w:rPr>
        <w:t xml:space="preserve">of the </w:t>
      </w:r>
      <w:bookmarkEnd w:id="1"/>
      <w:bookmarkEnd w:id="2"/>
      <w:r w:rsidR="00860C43" w:rsidRPr="001E1AA8">
        <w:rPr>
          <w:b/>
          <w:sz w:val="40"/>
          <w:szCs w:val="40"/>
        </w:rPr>
        <w:t xml:space="preserve">Energy Sector </w:t>
      </w:r>
      <w:r w:rsidR="00860C43" w:rsidRPr="001E1AA8">
        <w:rPr>
          <w:sz w:val="40"/>
          <w:szCs w:val="40"/>
        </w:rPr>
        <w:t>in Ontario</w:t>
      </w:r>
      <w:bookmarkEnd w:id="3"/>
    </w:p>
    <w:p w:rsidR="00860C43" w:rsidRDefault="00860C43" w:rsidP="00860C43">
      <w:pPr>
        <w:jc w:val="center"/>
      </w:pPr>
    </w:p>
    <w:p w:rsidR="00860C43" w:rsidRPr="00D40C77" w:rsidRDefault="00860C43" w:rsidP="00860C43">
      <w:pPr>
        <w:rPr>
          <w:rFonts w:ascii="Arial" w:hAnsi="Arial" w:cs="Arial"/>
          <w:sz w:val="40"/>
          <w:szCs w:val="40"/>
        </w:rPr>
      </w:pPr>
    </w:p>
    <w:p w:rsidR="00860C43" w:rsidRDefault="00860C43" w:rsidP="00377761">
      <w:pPr>
        <w:rPr>
          <w:rFonts w:ascii="Arial" w:hAnsi="Arial" w:cs="Arial"/>
          <w:b/>
          <w:sz w:val="28"/>
          <w:szCs w:val="28"/>
        </w:rPr>
      </w:pPr>
      <w:r>
        <w:rPr>
          <w:rFonts w:ascii="Arial" w:hAnsi="Arial" w:cs="Arial"/>
          <w:b/>
          <w:sz w:val="28"/>
          <w:szCs w:val="28"/>
        </w:rPr>
        <w:t>Version</w:t>
      </w:r>
      <w:r w:rsidR="003F2AE7">
        <w:rPr>
          <w:rFonts w:ascii="Arial" w:hAnsi="Arial" w:cs="Arial"/>
          <w:b/>
          <w:sz w:val="28"/>
          <w:szCs w:val="28"/>
        </w:rPr>
        <w:t xml:space="preserve"> </w:t>
      </w:r>
      <w:r>
        <w:rPr>
          <w:rFonts w:ascii="Arial" w:hAnsi="Arial" w:cs="Arial"/>
          <w:b/>
          <w:sz w:val="28"/>
          <w:szCs w:val="28"/>
        </w:rPr>
        <w:t>1</w:t>
      </w:r>
    </w:p>
    <w:p w:rsidR="00860C43" w:rsidRPr="00115CD4" w:rsidRDefault="004B5EDC" w:rsidP="00860C43">
      <w:pPr>
        <w:rPr>
          <w:rFonts w:ascii="Arial" w:hAnsi="Arial" w:cs="Arial"/>
          <w:b/>
          <w:sz w:val="28"/>
          <w:szCs w:val="28"/>
        </w:rPr>
      </w:pPr>
      <w:r>
        <w:rPr>
          <w:rFonts w:ascii="Arial" w:hAnsi="Arial" w:cs="Arial"/>
          <w:b/>
          <w:sz w:val="28"/>
          <w:szCs w:val="28"/>
        </w:rPr>
        <w:t xml:space="preserve">September </w:t>
      </w:r>
      <w:r w:rsidR="00860C43">
        <w:rPr>
          <w:rFonts w:ascii="Arial" w:hAnsi="Arial" w:cs="Arial"/>
          <w:b/>
          <w:sz w:val="28"/>
          <w:szCs w:val="28"/>
        </w:rPr>
        <w:t>2015</w:t>
      </w:r>
    </w:p>
    <w:p w:rsidR="00860C43" w:rsidRDefault="00860C43" w:rsidP="00860C43">
      <w:pPr>
        <w:rPr>
          <w:rFonts w:ascii="Arial" w:hAnsi="Arial" w:cs="Arial"/>
        </w:rPr>
      </w:pPr>
    </w:p>
    <w:p w:rsidR="001E1AA8" w:rsidRPr="00E95576" w:rsidRDefault="00860C43" w:rsidP="00860C43">
      <w:pPr>
        <w:rPr>
          <w:rFonts w:ascii="Arial" w:hAnsi="Arial" w:cs="Arial"/>
          <w:b/>
        </w:rPr>
      </w:pPr>
      <w:r>
        <w:rPr>
          <w:rFonts w:ascii="Arial" w:hAnsi="Arial" w:cs="Arial"/>
        </w:rPr>
        <w:br w:type="page"/>
      </w:r>
    </w:p>
    <w:sdt>
      <w:sdtPr>
        <w:rPr>
          <w:rFonts w:asciiTheme="minorHAnsi" w:eastAsiaTheme="minorEastAsia" w:hAnsiTheme="minorHAnsi" w:cs="Times New Roman"/>
          <w:bCs w:val="0"/>
          <w:kern w:val="0"/>
          <w:sz w:val="24"/>
          <w:szCs w:val="24"/>
        </w:rPr>
        <w:id w:val="769203172"/>
        <w:docPartObj>
          <w:docPartGallery w:val="Table of Contents"/>
          <w:docPartUnique/>
        </w:docPartObj>
      </w:sdtPr>
      <w:sdtEndPr>
        <w:rPr>
          <w:b/>
          <w:noProof/>
        </w:rPr>
      </w:sdtEndPr>
      <w:sdtContent>
        <w:p w:rsidR="001E1AA8" w:rsidRDefault="001E1AA8" w:rsidP="001E1AA8">
          <w:pPr>
            <w:pStyle w:val="TOCHeading"/>
          </w:pPr>
          <w:r>
            <w:t>Contents</w:t>
          </w:r>
          <w:r>
            <w:fldChar w:fldCharType="begin"/>
          </w:r>
          <w:r>
            <w:instrText xml:space="preserve"> TOC \o "1-3" \h \z \u </w:instrText>
          </w:r>
          <w:r>
            <w:fldChar w:fldCharType="separate"/>
          </w:r>
        </w:p>
        <w:p w:rsidR="001E1AA8" w:rsidRDefault="0069195E">
          <w:pPr>
            <w:pStyle w:val="TOC1"/>
            <w:tabs>
              <w:tab w:val="right" w:leader="dot" w:pos="8630"/>
            </w:tabs>
            <w:rPr>
              <w:noProof/>
            </w:rPr>
          </w:pPr>
          <w:hyperlink w:anchor="_Toc467484546" w:history="1">
            <w:r w:rsidR="001E1AA8" w:rsidRPr="00F25CD8">
              <w:rPr>
                <w:rStyle w:val="Hyperlink"/>
                <w:noProof/>
              </w:rPr>
              <w:t>1. Purpose</w:t>
            </w:r>
            <w:r w:rsidR="001E1AA8">
              <w:rPr>
                <w:noProof/>
                <w:webHidden/>
              </w:rPr>
              <w:tab/>
            </w:r>
            <w:r w:rsidR="001E1AA8">
              <w:rPr>
                <w:noProof/>
                <w:webHidden/>
              </w:rPr>
              <w:fldChar w:fldCharType="begin"/>
            </w:r>
            <w:r w:rsidR="001E1AA8">
              <w:rPr>
                <w:noProof/>
                <w:webHidden/>
              </w:rPr>
              <w:instrText xml:space="preserve"> PAGEREF _Toc467484546 \h </w:instrText>
            </w:r>
            <w:r w:rsidR="001E1AA8">
              <w:rPr>
                <w:noProof/>
                <w:webHidden/>
              </w:rPr>
            </w:r>
            <w:r w:rsidR="001E1AA8">
              <w:rPr>
                <w:noProof/>
                <w:webHidden/>
              </w:rPr>
              <w:fldChar w:fldCharType="separate"/>
            </w:r>
            <w:r>
              <w:rPr>
                <w:noProof/>
                <w:webHidden/>
              </w:rPr>
              <w:t>3</w:t>
            </w:r>
            <w:r w:rsidR="001E1AA8">
              <w:rPr>
                <w:noProof/>
                <w:webHidden/>
              </w:rPr>
              <w:fldChar w:fldCharType="end"/>
            </w:r>
          </w:hyperlink>
        </w:p>
        <w:p w:rsidR="001E1AA8" w:rsidRDefault="0069195E">
          <w:pPr>
            <w:pStyle w:val="TOC1"/>
            <w:tabs>
              <w:tab w:val="right" w:leader="dot" w:pos="8630"/>
            </w:tabs>
            <w:rPr>
              <w:noProof/>
            </w:rPr>
          </w:pPr>
          <w:hyperlink w:anchor="_Toc467484547" w:history="1">
            <w:r w:rsidR="001E1AA8" w:rsidRPr="00F25CD8">
              <w:rPr>
                <w:rStyle w:val="Hyperlink"/>
                <w:noProof/>
              </w:rPr>
              <w:t>2. Overview of the Energy Sector in Ontario</w:t>
            </w:r>
            <w:r w:rsidR="001E1AA8">
              <w:rPr>
                <w:noProof/>
                <w:webHidden/>
              </w:rPr>
              <w:tab/>
            </w:r>
            <w:r w:rsidR="001E1AA8">
              <w:rPr>
                <w:noProof/>
                <w:webHidden/>
              </w:rPr>
              <w:fldChar w:fldCharType="begin"/>
            </w:r>
            <w:r w:rsidR="001E1AA8">
              <w:rPr>
                <w:noProof/>
                <w:webHidden/>
              </w:rPr>
              <w:instrText xml:space="preserve"> PAGEREF _Toc467484547 \h </w:instrText>
            </w:r>
            <w:r w:rsidR="001E1AA8">
              <w:rPr>
                <w:noProof/>
                <w:webHidden/>
              </w:rPr>
            </w:r>
            <w:r w:rsidR="001E1AA8">
              <w:rPr>
                <w:noProof/>
                <w:webHidden/>
              </w:rPr>
              <w:fldChar w:fldCharType="separate"/>
            </w:r>
            <w:r>
              <w:rPr>
                <w:noProof/>
                <w:webHidden/>
              </w:rPr>
              <w:t>3</w:t>
            </w:r>
            <w:r w:rsidR="001E1AA8">
              <w:rPr>
                <w:noProof/>
                <w:webHidden/>
              </w:rPr>
              <w:fldChar w:fldCharType="end"/>
            </w:r>
          </w:hyperlink>
        </w:p>
        <w:p w:rsidR="001E1AA8" w:rsidRDefault="0069195E">
          <w:pPr>
            <w:pStyle w:val="TOC1"/>
            <w:tabs>
              <w:tab w:val="right" w:leader="dot" w:pos="8630"/>
            </w:tabs>
            <w:rPr>
              <w:noProof/>
            </w:rPr>
          </w:pPr>
          <w:hyperlink w:anchor="_Toc467484548" w:history="1">
            <w:r w:rsidR="001E1AA8" w:rsidRPr="00F25CD8">
              <w:rPr>
                <w:rStyle w:val="Hyperlink"/>
                <w:noProof/>
              </w:rPr>
              <w:t>3. Analysis of Archives of Ontario Holdings</w:t>
            </w:r>
            <w:r w:rsidR="001E1AA8">
              <w:rPr>
                <w:noProof/>
                <w:webHidden/>
              </w:rPr>
              <w:tab/>
            </w:r>
            <w:r w:rsidR="001E1AA8">
              <w:rPr>
                <w:noProof/>
                <w:webHidden/>
              </w:rPr>
              <w:fldChar w:fldCharType="begin"/>
            </w:r>
            <w:r w:rsidR="001E1AA8">
              <w:rPr>
                <w:noProof/>
                <w:webHidden/>
              </w:rPr>
              <w:instrText xml:space="preserve"> PAGEREF _Toc467484548 \h </w:instrText>
            </w:r>
            <w:r w:rsidR="001E1AA8">
              <w:rPr>
                <w:noProof/>
                <w:webHidden/>
              </w:rPr>
            </w:r>
            <w:r w:rsidR="001E1AA8">
              <w:rPr>
                <w:noProof/>
                <w:webHidden/>
              </w:rPr>
              <w:fldChar w:fldCharType="separate"/>
            </w:r>
            <w:r>
              <w:rPr>
                <w:noProof/>
                <w:webHidden/>
              </w:rPr>
              <w:t>5</w:t>
            </w:r>
            <w:r w:rsidR="001E1AA8">
              <w:rPr>
                <w:noProof/>
                <w:webHidden/>
              </w:rPr>
              <w:fldChar w:fldCharType="end"/>
            </w:r>
          </w:hyperlink>
        </w:p>
        <w:p w:rsidR="001E1AA8" w:rsidRDefault="0069195E">
          <w:pPr>
            <w:pStyle w:val="TOC1"/>
            <w:tabs>
              <w:tab w:val="right" w:leader="dot" w:pos="8630"/>
            </w:tabs>
            <w:rPr>
              <w:noProof/>
            </w:rPr>
          </w:pPr>
          <w:hyperlink w:anchor="_Toc467484549" w:history="1">
            <w:r w:rsidR="001E1AA8" w:rsidRPr="00F25CD8">
              <w:rPr>
                <w:rStyle w:val="Hyperlink"/>
                <w:noProof/>
              </w:rPr>
              <w:t>4. Methodology for Analyzing the Energy Sector</w:t>
            </w:r>
            <w:r w:rsidR="001E1AA8">
              <w:rPr>
                <w:noProof/>
                <w:webHidden/>
              </w:rPr>
              <w:tab/>
            </w:r>
            <w:r w:rsidR="001E1AA8">
              <w:rPr>
                <w:noProof/>
                <w:webHidden/>
              </w:rPr>
              <w:fldChar w:fldCharType="begin"/>
            </w:r>
            <w:r w:rsidR="001E1AA8">
              <w:rPr>
                <w:noProof/>
                <w:webHidden/>
              </w:rPr>
              <w:instrText xml:space="preserve"> PAGEREF _Toc467484549 \h </w:instrText>
            </w:r>
            <w:r w:rsidR="001E1AA8">
              <w:rPr>
                <w:noProof/>
                <w:webHidden/>
              </w:rPr>
            </w:r>
            <w:r w:rsidR="001E1AA8">
              <w:rPr>
                <w:noProof/>
                <w:webHidden/>
              </w:rPr>
              <w:fldChar w:fldCharType="separate"/>
            </w:r>
            <w:r>
              <w:rPr>
                <w:noProof/>
                <w:webHidden/>
              </w:rPr>
              <w:t>5</w:t>
            </w:r>
            <w:r w:rsidR="001E1AA8">
              <w:rPr>
                <w:noProof/>
                <w:webHidden/>
              </w:rPr>
              <w:fldChar w:fldCharType="end"/>
            </w:r>
          </w:hyperlink>
        </w:p>
        <w:p w:rsidR="001E1AA8" w:rsidRDefault="0069195E">
          <w:pPr>
            <w:pStyle w:val="TOC2"/>
            <w:tabs>
              <w:tab w:val="right" w:leader="dot" w:pos="8630"/>
            </w:tabs>
            <w:rPr>
              <w:noProof/>
            </w:rPr>
          </w:pPr>
          <w:hyperlink w:anchor="_Toc467484550" w:history="1">
            <w:r w:rsidR="001E1AA8" w:rsidRPr="00F25CD8">
              <w:rPr>
                <w:rStyle w:val="Hyperlink"/>
                <w:noProof/>
              </w:rPr>
              <w:t>Sub-sector Identifications</w:t>
            </w:r>
            <w:r w:rsidR="001E1AA8">
              <w:rPr>
                <w:noProof/>
                <w:webHidden/>
              </w:rPr>
              <w:tab/>
            </w:r>
            <w:r w:rsidR="001E1AA8">
              <w:rPr>
                <w:noProof/>
                <w:webHidden/>
              </w:rPr>
              <w:fldChar w:fldCharType="begin"/>
            </w:r>
            <w:r w:rsidR="001E1AA8">
              <w:rPr>
                <w:noProof/>
                <w:webHidden/>
              </w:rPr>
              <w:instrText xml:space="preserve"> PAGEREF _Toc467484550 \h </w:instrText>
            </w:r>
            <w:r w:rsidR="001E1AA8">
              <w:rPr>
                <w:noProof/>
                <w:webHidden/>
              </w:rPr>
            </w:r>
            <w:r w:rsidR="001E1AA8">
              <w:rPr>
                <w:noProof/>
                <w:webHidden/>
              </w:rPr>
              <w:fldChar w:fldCharType="separate"/>
            </w:r>
            <w:r>
              <w:rPr>
                <w:noProof/>
                <w:webHidden/>
              </w:rPr>
              <w:t>6</w:t>
            </w:r>
            <w:r w:rsidR="001E1AA8">
              <w:rPr>
                <w:noProof/>
                <w:webHidden/>
              </w:rPr>
              <w:fldChar w:fldCharType="end"/>
            </w:r>
          </w:hyperlink>
        </w:p>
        <w:p w:rsidR="001E1AA8" w:rsidRDefault="0069195E">
          <w:pPr>
            <w:pStyle w:val="TOC2"/>
            <w:tabs>
              <w:tab w:val="right" w:leader="dot" w:pos="8630"/>
            </w:tabs>
            <w:rPr>
              <w:noProof/>
            </w:rPr>
          </w:pPr>
          <w:hyperlink w:anchor="_Toc467484551" w:history="1">
            <w:r w:rsidR="001E1AA8" w:rsidRPr="00F25CD8">
              <w:rPr>
                <w:rStyle w:val="Hyperlink"/>
                <w:noProof/>
              </w:rPr>
              <w:t>Exclusions and Limitations</w:t>
            </w:r>
            <w:r w:rsidR="001E1AA8">
              <w:rPr>
                <w:noProof/>
                <w:webHidden/>
              </w:rPr>
              <w:tab/>
            </w:r>
            <w:r w:rsidR="001E1AA8">
              <w:rPr>
                <w:noProof/>
                <w:webHidden/>
              </w:rPr>
              <w:fldChar w:fldCharType="begin"/>
            </w:r>
            <w:r w:rsidR="001E1AA8">
              <w:rPr>
                <w:noProof/>
                <w:webHidden/>
              </w:rPr>
              <w:instrText xml:space="preserve"> PAGEREF _Toc467484551 \h </w:instrText>
            </w:r>
            <w:r w:rsidR="001E1AA8">
              <w:rPr>
                <w:noProof/>
                <w:webHidden/>
              </w:rPr>
            </w:r>
            <w:r w:rsidR="001E1AA8">
              <w:rPr>
                <w:noProof/>
                <w:webHidden/>
              </w:rPr>
              <w:fldChar w:fldCharType="separate"/>
            </w:r>
            <w:r>
              <w:rPr>
                <w:noProof/>
                <w:webHidden/>
              </w:rPr>
              <w:t>6</w:t>
            </w:r>
            <w:r w:rsidR="001E1AA8">
              <w:rPr>
                <w:noProof/>
                <w:webHidden/>
              </w:rPr>
              <w:fldChar w:fldCharType="end"/>
            </w:r>
          </w:hyperlink>
        </w:p>
        <w:p w:rsidR="001E1AA8" w:rsidRDefault="0069195E">
          <w:pPr>
            <w:pStyle w:val="TOC1"/>
            <w:tabs>
              <w:tab w:val="right" w:leader="dot" w:pos="8630"/>
            </w:tabs>
            <w:rPr>
              <w:noProof/>
            </w:rPr>
          </w:pPr>
          <w:hyperlink w:anchor="_Toc467484552" w:history="1">
            <w:r w:rsidR="001E1AA8" w:rsidRPr="00F25CD8">
              <w:rPr>
                <w:rStyle w:val="Hyperlink"/>
                <w:noProof/>
              </w:rPr>
              <w:t>5. Appendix A: Analysis of Energy Sub-sectors</w:t>
            </w:r>
            <w:r w:rsidR="001E1AA8">
              <w:rPr>
                <w:noProof/>
                <w:webHidden/>
              </w:rPr>
              <w:tab/>
            </w:r>
            <w:r w:rsidR="001E1AA8">
              <w:rPr>
                <w:noProof/>
                <w:webHidden/>
              </w:rPr>
              <w:fldChar w:fldCharType="begin"/>
            </w:r>
            <w:r w:rsidR="001E1AA8">
              <w:rPr>
                <w:noProof/>
                <w:webHidden/>
              </w:rPr>
              <w:instrText xml:space="preserve"> PAGEREF _Toc467484552 \h </w:instrText>
            </w:r>
            <w:r w:rsidR="001E1AA8">
              <w:rPr>
                <w:noProof/>
                <w:webHidden/>
              </w:rPr>
            </w:r>
            <w:r w:rsidR="001E1AA8">
              <w:rPr>
                <w:noProof/>
                <w:webHidden/>
              </w:rPr>
              <w:fldChar w:fldCharType="separate"/>
            </w:r>
            <w:r>
              <w:rPr>
                <w:noProof/>
                <w:webHidden/>
              </w:rPr>
              <w:t>6</w:t>
            </w:r>
            <w:r w:rsidR="001E1AA8">
              <w:rPr>
                <w:noProof/>
                <w:webHidden/>
              </w:rPr>
              <w:fldChar w:fldCharType="end"/>
            </w:r>
          </w:hyperlink>
        </w:p>
        <w:p w:rsidR="001E1AA8" w:rsidRDefault="0069195E">
          <w:pPr>
            <w:pStyle w:val="TOC2"/>
            <w:tabs>
              <w:tab w:val="right" w:leader="dot" w:pos="8630"/>
            </w:tabs>
            <w:rPr>
              <w:noProof/>
            </w:rPr>
          </w:pPr>
          <w:hyperlink w:anchor="_Toc467484553" w:history="1">
            <w:r w:rsidR="001E1AA8" w:rsidRPr="00F25CD8">
              <w:rPr>
                <w:rStyle w:val="Hyperlink"/>
                <w:noProof/>
              </w:rPr>
              <w:t>Energy Sub-sectors:</w:t>
            </w:r>
            <w:r w:rsidR="001E1AA8">
              <w:rPr>
                <w:noProof/>
                <w:webHidden/>
              </w:rPr>
              <w:tab/>
            </w:r>
            <w:r w:rsidR="001E1AA8">
              <w:rPr>
                <w:noProof/>
                <w:webHidden/>
              </w:rPr>
              <w:fldChar w:fldCharType="begin"/>
            </w:r>
            <w:r w:rsidR="001E1AA8">
              <w:rPr>
                <w:noProof/>
                <w:webHidden/>
              </w:rPr>
              <w:instrText xml:space="preserve"> PAGEREF _Toc467484553 \h </w:instrText>
            </w:r>
            <w:r w:rsidR="001E1AA8">
              <w:rPr>
                <w:noProof/>
                <w:webHidden/>
              </w:rPr>
            </w:r>
            <w:r w:rsidR="001E1AA8">
              <w:rPr>
                <w:noProof/>
                <w:webHidden/>
              </w:rPr>
              <w:fldChar w:fldCharType="separate"/>
            </w:r>
            <w:r>
              <w:rPr>
                <w:noProof/>
                <w:webHidden/>
              </w:rPr>
              <w:t>6</w:t>
            </w:r>
            <w:r w:rsidR="001E1AA8">
              <w:rPr>
                <w:noProof/>
                <w:webHidden/>
              </w:rPr>
              <w:fldChar w:fldCharType="end"/>
            </w:r>
          </w:hyperlink>
        </w:p>
        <w:p w:rsidR="001E1AA8" w:rsidRDefault="0069195E">
          <w:pPr>
            <w:pStyle w:val="TOC2"/>
            <w:tabs>
              <w:tab w:val="right" w:leader="dot" w:pos="8630"/>
            </w:tabs>
            <w:rPr>
              <w:noProof/>
            </w:rPr>
          </w:pPr>
          <w:hyperlink w:anchor="_Toc467484554" w:history="1">
            <w:r w:rsidR="001E1AA8" w:rsidRPr="00F25CD8">
              <w:rPr>
                <w:rStyle w:val="Hyperlink"/>
                <w:noProof/>
              </w:rPr>
              <w:t>Government Functional Linkages</w:t>
            </w:r>
            <w:r w:rsidR="001E1AA8">
              <w:rPr>
                <w:noProof/>
                <w:webHidden/>
              </w:rPr>
              <w:tab/>
            </w:r>
            <w:r w:rsidR="001E1AA8">
              <w:rPr>
                <w:noProof/>
                <w:webHidden/>
              </w:rPr>
              <w:fldChar w:fldCharType="begin"/>
            </w:r>
            <w:r w:rsidR="001E1AA8">
              <w:rPr>
                <w:noProof/>
                <w:webHidden/>
              </w:rPr>
              <w:instrText xml:space="preserve"> PAGEREF _Toc467484554 \h </w:instrText>
            </w:r>
            <w:r w:rsidR="001E1AA8">
              <w:rPr>
                <w:noProof/>
                <w:webHidden/>
              </w:rPr>
            </w:r>
            <w:r w:rsidR="001E1AA8">
              <w:rPr>
                <w:noProof/>
                <w:webHidden/>
              </w:rPr>
              <w:fldChar w:fldCharType="separate"/>
            </w:r>
            <w:r>
              <w:rPr>
                <w:noProof/>
                <w:webHidden/>
              </w:rPr>
              <w:t>7</w:t>
            </w:r>
            <w:r w:rsidR="001E1AA8">
              <w:rPr>
                <w:noProof/>
                <w:webHidden/>
              </w:rPr>
              <w:fldChar w:fldCharType="end"/>
            </w:r>
          </w:hyperlink>
        </w:p>
        <w:p w:rsidR="001E1AA8" w:rsidRDefault="0069195E">
          <w:pPr>
            <w:pStyle w:val="TOC1"/>
            <w:tabs>
              <w:tab w:val="right" w:leader="dot" w:pos="8630"/>
            </w:tabs>
            <w:rPr>
              <w:noProof/>
            </w:rPr>
          </w:pPr>
          <w:hyperlink w:anchor="_Toc467484555" w:history="1">
            <w:r w:rsidR="001E1AA8" w:rsidRPr="00F25CD8">
              <w:rPr>
                <w:rStyle w:val="Hyperlink"/>
                <w:noProof/>
              </w:rPr>
              <w:t>Appendix A: Analysis of Energy Sub-sectors</w:t>
            </w:r>
            <w:r w:rsidR="001E1AA8">
              <w:rPr>
                <w:noProof/>
                <w:webHidden/>
              </w:rPr>
              <w:tab/>
            </w:r>
            <w:r w:rsidR="001E1AA8">
              <w:rPr>
                <w:noProof/>
                <w:webHidden/>
              </w:rPr>
              <w:fldChar w:fldCharType="begin"/>
            </w:r>
            <w:r w:rsidR="001E1AA8">
              <w:rPr>
                <w:noProof/>
                <w:webHidden/>
              </w:rPr>
              <w:instrText xml:space="preserve"> PAGEREF _Toc467484555 \h </w:instrText>
            </w:r>
            <w:r w:rsidR="001E1AA8">
              <w:rPr>
                <w:noProof/>
                <w:webHidden/>
              </w:rPr>
            </w:r>
            <w:r w:rsidR="001E1AA8">
              <w:rPr>
                <w:noProof/>
                <w:webHidden/>
              </w:rPr>
              <w:fldChar w:fldCharType="separate"/>
            </w:r>
            <w:r>
              <w:rPr>
                <w:noProof/>
                <w:webHidden/>
              </w:rPr>
              <w:t>8</w:t>
            </w:r>
            <w:r w:rsidR="001E1AA8">
              <w:rPr>
                <w:noProof/>
                <w:webHidden/>
              </w:rPr>
              <w:fldChar w:fldCharType="end"/>
            </w:r>
          </w:hyperlink>
        </w:p>
        <w:p w:rsidR="001E1AA8" w:rsidRDefault="001E1AA8">
          <w:r>
            <w:rPr>
              <w:b/>
              <w:bCs/>
              <w:noProof/>
            </w:rPr>
            <w:fldChar w:fldCharType="end"/>
          </w:r>
        </w:p>
      </w:sdtContent>
    </w:sdt>
    <w:p w:rsidR="00860C43" w:rsidRPr="001E1AA8" w:rsidRDefault="00860C43" w:rsidP="001E1AA8">
      <w:pPr>
        <w:pStyle w:val="Heading1"/>
      </w:pPr>
      <w:r>
        <w:br w:type="page"/>
      </w:r>
      <w:bookmarkStart w:id="4" w:name="_Toc467484546"/>
      <w:r w:rsidRPr="001E1AA8">
        <w:lastRenderedPageBreak/>
        <w:t xml:space="preserve">1. </w:t>
      </w:r>
      <w:r w:rsidR="00DD5EFA" w:rsidRPr="001E1AA8">
        <w:t>Purpose</w:t>
      </w:r>
      <w:bookmarkEnd w:id="4"/>
    </w:p>
    <w:p w:rsidR="00860C43" w:rsidRDefault="00860C43" w:rsidP="00860C43">
      <w:pPr>
        <w:rPr>
          <w:rFonts w:ascii="Arial" w:hAnsi="Arial" w:cs="Arial"/>
        </w:rPr>
      </w:pPr>
      <w:r>
        <w:rPr>
          <w:rFonts w:ascii="Arial" w:hAnsi="Arial" w:cs="Arial"/>
        </w:rPr>
        <w:t xml:space="preserve">The purpose of this report is to carry forward key recommendations from the Archives of Ontario Private Acquisitions Strategy by conducting examinations of Ontario’s major sectors. This report highlights sub-sectors or areas within the private energy sector which are likely to generate records of provincial significance. </w:t>
      </w:r>
    </w:p>
    <w:p w:rsidR="00860C43" w:rsidRDefault="00860C43" w:rsidP="00860C43">
      <w:pPr>
        <w:rPr>
          <w:rFonts w:ascii="Arial" w:hAnsi="Arial" w:cs="Arial"/>
        </w:rPr>
      </w:pPr>
    </w:p>
    <w:p w:rsidR="0084448F" w:rsidRPr="00565D57" w:rsidRDefault="0084448F" w:rsidP="0084448F">
      <w:pPr>
        <w:rPr>
          <w:rFonts w:ascii="Arial" w:hAnsi="Arial" w:cs="Arial"/>
        </w:rPr>
      </w:pPr>
      <w:r>
        <w:rPr>
          <w:rFonts w:ascii="Arial" w:hAnsi="Arial" w:cs="Arial"/>
        </w:rPr>
        <w:t xml:space="preserve">In total, Ontario’s electricity sector is a $15 billion annual industry that involves both the public and private sector and employs some 95,000 Ontarians directly and indirectly.  Annual investments in electricity in Ontario from private sources also are in the billions of dollars. The generation of electricity in Ontario </w:t>
      </w:r>
      <w:r w:rsidR="00C504A6">
        <w:rPr>
          <w:rFonts w:ascii="Arial" w:hAnsi="Arial" w:cs="Arial"/>
        </w:rPr>
        <w:t>i</w:t>
      </w:r>
      <w:r>
        <w:rPr>
          <w:rFonts w:ascii="Arial" w:hAnsi="Arial" w:cs="Arial"/>
        </w:rPr>
        <w:t>s a clearly visible reality for almost all Ontarians, and the energy sector has a daily impact on their quality of life and ability to function in a modern society.</w:t>
      </w:r>
    </w:p>
    <w:p w:rsidR="00860C43" w:rsidRDefault="00860C43" w:rsidP="00860C43">
      <w:pPr>
        <w:rPr>
          <w:rFonts w:ascii="Arial" w:hAnsi="Arial" w:cs="Arial"/>
        </w:rPr>
      </w:pPr>
    </w:p>
    <w:p w:rsidR="00860C43" w:rsidRDefault="00860C43" w:rsidP="00860C43">
      <w:pPr>
        <w:rPr>
          <w:rFonts w:ascii="Arial" w:hAnsi="Arial" w:cs="Arial"/>
        </w:rPr>
      </w:pPr>
      <w:r>
        <w:rPr>
          <w:rFonts w:ascii="Arial" w:hAnsi="Arial" w:cs="Arial"/>
        </w:rPr>
        <w:t xml:space="preserve">The identification and appraisal of activities within the energy sector will drive and support private records acquisition policy for energy sector records in the </w:t>
      </w:r>
      <w:r w:rsidRPr="009379CB">
        <w:rPr>
          <w:rFonts w:ascii="Arial" w:hAnsi="Arial" w:cs="Arial"/>
          <w:i/>
        </w:rPr>
        <w:t>Archives of Ontario Private Acquisitions Strategy</w:t>
      </w:r>
      <w:r>
        <w:rPr>
          <w:rFonts w:ascii="Arial" w:hAnsi="Arial" w:cs="Arial"/>
        </w:rPr>
        <w:t>.</w:t>
      </w:r>
    </w:p>
    <w:p w:rsidR="00860C43" w:rsidRDefault="00860C43" w:rsidP="00860C43">
      <w:pPr>
        <w:rPr>
          <w:rFonts w:ascii="Arial" w:hAnsi="Arial" w:cs="Arial"/>
          <w:b/>
        </w:rPr>
      </w:pPr>
    </w:p>
    <w:p w:rsidR="00073F8C" w:rsidRDefault="00073F8C" w:rsidP="00860C43">
      <w:pPr>
        <w:rPr>
          <w:rFonts w:ascii="Arial" w:hAnsi="Arial" w:cs="Arial"/>
          <w:b/>
        </w:rPr>
      </w:pPr>
    </w:p>
    <w:p w:rsidR="00860C43" w:rsidRDefault="00860C43" w:rsidP="001E1AA8">
      <w:pPr>
        <w:pStyle w:val="Heading1"/>
      </w:pPr>
      <w:bookmarkStart w:id="5" w:name="_Toc467484547"/>
      <w:r>
        <w:t>2. Overview of the Energy</w:t>
      </w:r>
      <w:r w:rsidRPr="00CA2666">
        <w:t xml:space="preserve"> Sector in Ontario</w:t>
      </w:r>
      <w:bookmarkEnd w:id="5"/>
    </w:p>
    <w:p w:rsidR="00860C43" w:rsidRDefault="00860C43" w:rsidP="00860C43">
      <w:pPr>
        <w:rPr>
          <w:rFonts w:ascii="Arial" w:hAnsi="Arial" w:cs="Arial"/>
        </w:rPr>
      </w:pPr>
      <w:r>
        <w:rPr>
          <w:rFonts w:ascii="Arial" w:hAnsi="Arial" w:cs="Arial"/>
        </w:rPr>
        <w:t>The foundations of the current energy sector in Ontario were laid in 1974, when Ontario Hydro was formally created as a Crown Corporation replacing the former Hydro Electric Power Corporation.</w:t>
      </w:r>
      <w:r>
        <w:rPr>
          <w:rStyle w:val="FootnoteReference"/>
          <w:rFonts w:ascii="Arial" w:hAnsi="Arial" w:cs="Arial"/>
        </w:rPr>
        <w:footnoteReference w:id="1"/>
      </w:r>
      <w:r>
        <w:rPr>
          <w:rFonts w:ascii="Arial" w:hAnsi="Arial" w:cs="Arial"/>
        </w:rPr>
        <w:t xml:space="preserve">  </w:t>
      </w:r>
      <w:r w:rsidR="0084448F">
        <w:rPr>
          <w:rFonts w:ascii="Arial" w:hAnsi="Arial" w:cs="Arial"/>
        </w:rPr>
        <w:t>In 1979</w:t>
      </w:r>
      <w:r>
        <w:rPr>
          <w:rFonts w:ascii="Arial" w:hAnsi="Arial" w:cs="Arial"/>
        </w:rPr>
        <w:t>, The Porter Commission recommended that the focus of Ontario electricity planning should be on demand management, not supply.  This was driven by the cost of the building and operating of nuclear power plants, six of which the province built between 1971 and 1978.</w:t>
      </w:r>
      <w:r>
        <w:rPr>
          <w:rStyle w:val="FootnoteReference"/>
          <w:rFonts w:ascii="Arial" w:hAnsi="Arial" w:cs="Arial"/>
        </w:rPr>
        <w:footnoteReference w:id="2"/>
      </w:r>
      <w:r>
        <w:rPr>
          <w:rFonts w:ascii="Arial" w:hAnsi="Arial" w:cs="Arial"/>
        </w:rPr>
        <w:t xml:space="preserve">  The trio of coal, nuclear and hydro-electric power formed the bulk of Ontario power generation into the early 1990s.  However, there were projections in the mid-1990s that supply would not be able to meet demand.</w:t>
      </w:r>
      <w:r>
        <w:rPr>
          <w:rStyle w:val="FootnoteReference"/>
          <w:rFonts w:ascii="Arial" w:hAnsi="Arial" w:cs="Arial"/>
        </w:rPr>
        <w:footnoteReference w:id="3"/>
      </w:r>
      <w:r>
        <w:rPr>
          <w:rFonts w:ascii="Arial" w:hAnsi="Arial" w:cs="Arial"/>
        </w:rPr>
        <w:t xml:space="preserve"> The projected supply gap was estimated to be significant, but the increase in nuclear supply </w:t>
      </w:r>
      <w:r w:rsidR="00DD5EFA">
        <w:rPr>
          <w:rFonts w:ascii="Arial" w:hAnsi="Arial" w:cs="Arial"/>
        </w:rPr>
        <w:t>created by the construction of four</w:t>
      </w:r>
      <w:r>
        <w:rPr>
          <w:rFonts w:ascii="Arial" w:hAnsi="Arial" w:cs="Arial"/>
        </w:rPr>
        <w:t xml:space="preserve"> new nuclear reactors at Darlington was estimated to fill the gap.  The large debt from the building of Darlington put a damper on future building of electrical plants, especially by the public and quasi-public sector.</w:t>
      </w:r>
    </w:p>
    <w:p w:rsidR="00860C43" w:rsidRDefault="00860C43" w:rsidP="00860C43">
      <w:pPr>
        <w:rPr>
          <w:rFonts w:ascii="Arial" w:hAnsi="Arial" w:cs="Arial"/>
        </w:rPr>
      </w:pPr>
    </w:p>
    <w:p w:rsidR="00DD5EFA" w:rsidRDefault="0084448F" w:rsidP="00860C43">
      <w:pPr>
        <w:rPr>
          <w:rFonts w:ascii="Arial" w:hAnsi="Arial" w:cs="Arial"/>
        </w:rPr>
      </w:pPr>
      <w:r>
        <w:rPr>
          <w:rFonts w:ascii="Arial" w:hAnsi="Arial" w:cs="Arial"/>
        </w:rPr>
        <w:t xml:space="preserve">The passage of the </w:t>
      </w:r>
      <w:r w:rsidRPr="00DD5EFA">
        <w:rPr>
          <w:rFonts w:ascii="Arial" w:hAnsi="Arial" w:cs="Arial"/>
          <w:i/>
        </w:rPr>
        <w:t>Energy Competition Act</w:t>
      </w:r>
      <w:r>
        <w:rPr>
          <w:rFonts w:ascii="Arial" w:hAnsi="Arial" w:cs="Arial"/>
        </w:rPr>
        <w:t xml:space="preserve"> in 1998 ended the monopoly of power generation by Ontario Hydro and moved the province </w:t>
      </w:r>
      <w:r w:rsidR="00860C43">
        <w:rPr>
          <w:rFonts w:ascii="Arial" w:hAnsi="Arial" w:cs="Arial"/>
        </w:rPr>
        <w:t>to a new market-</w:t>
      </w:r>
      <w:r w:rsidR="00860C43">
        <w:rPr>
          <w:rFonts w:ascii="Arial" w:hAnsi="Arial" w:cs="Arial"/>
        </w:rPr>
        <w:lastRenderedPageBreak/>
        <w:t>oriented electricity system.  Ontario Hydro was divided into five separate companies under the authority of the Ministry of Energy.</w:t>
      </w:r>
      <w:r w:rsidR="00860C43">
        <w:rPr>
          <w:rStyle w:val="FootnoteReference"/>
          <w:rFonts w:ascii="Arial" w:hAnsi="Arial" w:cs="Arial"/>
        </w:rPr>
        <w:footnoteReference w:id="4"/>
      </w:r>
    </w:p>
    <w:p w:rsidR="00DD5EFA" w:rsidRDefault="00DD5EFA" w:rsidP="00860C43">
      <w:pPr>
        <w:rPr>
          <w:rFonts w:ascii="Arial" w:hAnsi="Arial" w:cs="Arial"/>
        </w:rPr>
      </w:pPr>
    </w:p>
    <w:p w:rsidR="00DD5EFA" w:rsidRPr="00DD5EFA" w:rsidRDefault="00860C43" w:rsidP="00DD5EFA">
      <w:pPr>
        <w:pStyle w:val="ListParagraph"/>
        <w:numPr>
          <w:ilvl w:val="0"/>
          <w:numId w:val="10"/>
        </w:numPr>
        <w:rPr>
          <w:rFonts w:ascii="Arial" w:hAnsi="Arial" w:cs="Arial"/>
        </w:rPr>
      </w:pPr>
      <w:r w:rsidRPr="00DD5EFA">
        <w:rPr>
          <w:rFonts w:ascii="Arial" w:hAnsi="Arial" w:cs="Arial"/>
        </w:rPr>
        <w:t>The Ontario Energy Board was created to regulate natura</w:t>
      </w:r>
      <w:r w:rsidR="00DD5EFA">
        <w:rPr>
          <w:rFonts w:ascii="Arial" w:hAnsi="Arial" w:cs="Arial"/>
        </w:rPr>
        <w:t>l gas and electricity utilities,</w:t>
      </w:r>
    </w:p>
    <w:p w:rsidR="00DD5EFA" w:rsidRDefault="00DD5EFA" w:rsidP="00DD5EFA">
      <w:pPr>
        <w:pStyle w:val="ListParagraph"/>
        <w:numPr>
          <w:ilvl w:val="0"/>
          <w:numId w:val="10"/>
        </w:numPr>
        <w:rPr>
          <w:rFonts w:ascii="Arial" w:hAnsi="Arial" w:cs="Arial"/>
        </w:rPr>
      </w:pPr>
      <w:r>
        <w:rPr>
          <w:rFonts w:ascii="Arial" w:hAnsi="Arial" w:cs="Arial"/>
        </w:rPr>
        <w:t>T</w:t>
      </w:r>
      <w:r w:rsidR="00860C43" w:rsidRPr="00DD5EFA">
        <w:rPr>
          <w:rFonts w:ascii="Arial" w:hAnsi="Arial" w:cs="Arial"/>
        </w:rPr>
        <w:t>he Ontario Power Authority was to deal with system planning and demand</w:t>
      </w:r>
      <w:r>
        <w:rPr>
          <w:rFonts w:ascii="Arial" w:hAnsi="Arial" w:cs="Arial"/>
        </w:rPr>
        <w:t xml:space="preserve"> forecasting,</w:t>
      </w:r>
    </w:p>
    <w:p w:rsidR="00DD5EFA" w:rsidRDefault="00DD5EFA" w:rsidP="00DD5EFA">
      <w:pPr>
        <w:pStyle w:val="ListParagraph"/>
        <w:numPr>
          <w:ilvl w:val="0"/>
          <w:numId w:val="10"/>
        </w:numPr>
        <w:rPr>
          <w:rFonts w:ascii="Arial" w:hAnsi="Arial" w:cs="Arial"/>
        </w:rPr>
      </w:pPr>
      <w:r>
        <w:rPr>
          <w:rFonts w:ascii="Arial" w:hAnsi="Arial" w:cs="Arial"/>
        </w:rPr>
        <w:t>T</w:t>
      </w:r>
      <w:r w:rsidR="00860C43" w:rsidRPr="00DD5EFA">
        <w:rPr>
          <w:rFonts w:ascii="Arial" w:hAnsi="Arial" w:cs="Arial"/>
        </w:rPr>
        <w:t>he Independent Electricity System Operator was to manage all produc</w:t>
      </w:r>
      <w:r>
        <w:rPr>
          <w:rFonts w:ascii="Arial" w:hAnsi="Arial" w:cs="Arial"/>
        </w:rPr>
        <w:t>ers, transmitters and retailers,</w:t>
      </w:r>
    </w:p>
    <w:p w:rsidR="00DD5EFA" w:rsidRDefault="00860C43" w:rsidP="00DD5EFA">
      <w:pPr>
        <w:pStyle w:val="ListParagraph"/>
        <w:numPr>
          <w:ilvl w:val="0"/>
          <w:numId w:val="10"/>
        </w:numPr>
        <w:rPr>
          <w:rFonts w:ascii="Arial" w:hAnsi="Arial" w:cs="Arial"/>
        </w:rPr>
      </w:pPr>
      <w:r w:rsidRPr="00DD5EFA">
        <w:rPr>
          <w:rFonts w:ascii="Arial" w:hAnsi="Arial" w:cs="Arial"/>
        </w:rPr>
        <w:t>Hydro One was to manage the</w:t>
      </w:r>
      <w:r w:rsidR="00DD5EFA">
        <w:rPr>
          <w:rFonts w:ascii="Arial" w:hAnsi="Arial" w:cs="Arial"/>
        </w:rPr>
        <w:t xml:space="preserve"> wires and transmission systems,</w:t>
      </w:r>
      <w:r w:rsidR="003F2AE7">
        <w:rPr>
          <w:rFonts w:ascii="Arial" w:hAnsi="Arial" w:cs="Arial"/>
        </w:rPr>
        <w:t xml:space="preserve"> and</w:t>
      </w:r>
    </w:p>
    <w:p w:rsidR="00DD5EFA" w:rsidRDefault="00860C43" w:rsidP="00DD5EFA">
      <w:pPr>
        <w:pStyle w:val="ListParagraph"/>
        <w:numPr>
          <w:ilvl w:val="0"/>
          <w:numId w:val="10"/>
        </w:numPr>
        <w:rPr>
          <w:rFonts w:ascii="Arial" w:hAnsi="Arial" w:cs="Arial"/>
        </w:rPr>
      </w:pPr>
      <w:r w:rsidRPr="00DD5EFA">
        <w:rPr>
          <w:rFonts w:ascii="Arial" w:hAnsi="Arial" w:cs="Arial"/>
        </w:rPr>
        <w:t>Ontario Power Generation was responsible for the generation and sale of electricity in the province.</w:t>
      </w:r>
      <w:r>
        <w:rPr>
          <w:rStyle w:val="FootnoteReference"/>
          <w:rFonts w:ascii="Arial" w:hAnsi="Arial" w:cs="Arial"/>
        </w:rPr>
        <w:footnoteReference w:id="5"/>
      </w:r>
      <w:r w:rsidRPr="00DD5EFA">
        <w:rPr>
          <w:rFonts w:ascii="Arial" w:hAnsi="Arial" w:cs="Arial"/>
        </w:rPr>
        <w:t xml:space="preserve"> </w:t>
      </w:r>
    </w:p>
    <w:p w:rsidR="00DD5EFA" w:rsidRDefault="00DD5EFA" w:rsidP="00DD5EFA">
      <w:pPr>
        <w:rPr>
          <w:rFonts w:ascii="Arial" w:hAnsi="Arial" w:cs="Arial"/>
        </w:rPr>
      </w:pPr>
    </w:p>
    <w:p w:rsidR="00860C43" w:rsidRPr="00DD5EFA" w:rsidRDefault="00860C43" w:rsidP="00DD5EFA">
      <w:pPr>
        <w:rPr>
          <w:rFonts w:ascii="Arial" w:hAnsi="Arial" w:cs="Arial"/>
        </w:rPr>
      </w:pPr>
      <w:r w:rsidRPr="00DD5EFA">
        <w:rPr>
          <w:rFonts w:ascii="Arial" w:hAnsi="Arial" w:cs="Arial"/>
        </w:rPr>
        <w:t>Under this system, a</w:t>
      </w:r>
      <w:r w:rsidR="00C504A6">
        <w:rPr>
          <w:rFonts w:ascii="Arial" w:hAnsi="Arial" w:cs="Arial"/>
        </w:rPr>
        <w:t xml:space="preserve"> short lived</w:t>
      </w:r>
      <w:r w:rsidRPr="00DD5EFA">
        <w:rPr>
          <w:rFonts w:ascii="Arial" w:hAnsi="Arial" w:cs="Arial"/>
        </w:rPr>
        <w:t xml:space="preserve"> free ma</w:t>
      </w:r>
      <w:r w:rsidR="00DD5EFA">
        <w:rPr>
          <w:rFonts w:ascii="Arial" w:hAnsi="Arial" w:cs="Arial"/>
        </w:rPr>
        <w:t>rket for electricity was opened</w:t>
      </w:r>
      <w:r w:rsidRPr="00DD5EFA">
        <w:rPr>
          <w:rFonts w:ascii="Arial" w:hAnsi="Arial" w:cs="Arial"/>
        </w:rPr>
        <w:t xml:space="preserve"> in 2002.  Between 1996 and 2003, while this system was developing, the total generating capacity in Ontario fell by six per cent, while energy demand grew by 8.5 per cent.</w:t>
      </w:r>
      <w:r>
        <w:rPr>
          <w:rStyle w:val="FootnoteReference"/>
          <w:rFonts w:ascii="Arial" w:hAnsi="Arial" w:cs="Arial"/>
        </w:rPr>
        <w:footnoteReference w:id="6"/>
      </w:r>
      <w:r w:rsidRPr="00DD5EFA">
        <w:rPr>
          <w:rFonts w:ascii="Arial" w:hAnsi="Arial" w:cs="Arial"/>
        </w:rPr>
        <w:t xml:space="preserve">  The combination of market deregulation, increased demand and reduced supply </w:t>
      </w:r>
      <w:r w:rsidR="0084448F">
        <w:rPr>
          <w:rFonts w:ascii="Arial" w:hAnsi="Arial" w:cs="Arial"/>
        </w:rPr>
        <w:t>resulted in a sharp rise in</w:t>
      </w:r>
      <w:r w:rsidRPr="00DD5EFA">
        <w:rPr>
          <w:rFonts w:ascii="Arial" w:hAnsi="Arial" w:cs="Arial"/>
        </w:rPr>
        <w:t xml:space="preserve"> the price of electricity</w:t>
      </w:r>
      <w:r w:rsidR="0084448F">
        <w:rPr>
          <w:rFonts w:ascii="Arial" w:hAnsi="Arial" w:cs="Arial"/>
        </w:rPr>
        <w:t xml:space="preserve">. This </w:t>
      </w:r>
      <w:proofErr w:type="gramStart"/>
      <w:r w:rsidR="0084448F">
        <w:rPr>
          <w:rFonts w:ascii="Arial" w:hAnsi="Arial" w:cs="Arial"/>
        </w:rPr>
        <w:t xml:space="preserve">led </w:t>
      </w:r>
      <w:r w:rsidRPr="00DD5EFA">
        <w:rPr>
          <w:rFonts w:ascii="Arial" w:hAnsi="Arial" w:cs="Arial"/>
        </w:rPr>
        <w:t xml:space="preserve"> to</w:t>
      </w:r>
      <w:proofErr w:type="gramEnd"/>
      <w:r w:rsidRPr="00DD5EFA">
        <w:rPr>
          <w:rFonts w:ascii="Arial" w:hAnsi="Arial" w:cs="Arial"/>
        </w:rPr>
        <w:t xml:space="preserve"> a cap in prices in 2002. Concerns also grew over the reliance of Ontario on coal power and hence on expensive imported coal.</w:t>
      </w:r>
    </w:p>
    <w:p w:rsidR="00860C43" w:rsidRDefault="00860C43" w:rsidP="00860C43">
      <w:pPr>
        <w:rPr>
          <w:rFonts w:ascii="Arial" w:hAnsi="Arial" w:cs="Arial"/>
        </w:rPr>
      </w:pPr>
    </w:p>
    <w:p w:rsidR="00860C43" w:rsidRDefault="00860C43" w:rsidP="00860C43">
      <w:pPr>
        <w:rPr>
          <w:rFonts w:ascii="Arial" w:hAnsi="Arial" w:cs="Arial"/>
        </w:rPr>
      </w:pPr>
      <w:r>
        <w:rPr>
          <w:rFonts w:ascii="Arial" w:hAnsi="Arial" w:cs="Arial"/>
        </w:rPr>
        <w:t>A blackout in eastern North America in 2003 increased concerns about the long-term stability of electrical supply in Ontario.  A combination of nuclear-plant refurbishment, and the creation of renewable power sources such as solar, wind, and further hydro-electric generation, as well as improvements to transmission and distribution lines, helped bring more power sources on line and allowed for the phasing out of</w:t>
      </w:r>
      <w:r w:rsidR="00DD5EFA">
        <w:rPr>
          <w:rFonts w:ascii="Arial" w:hAnsi="Arial" w:cs="Arial"/>
        </w:rPr>
        <w:t xml:space="preserve"> coal generated power.  The 2007 </w:t>
      </w:r>
      <w:r w:rsidR="00EF212A">
        <w:rPr>
          <w:rFonts w:ascii="Arial" w:hAnsi="Arial" w:cs="Arial"/>
          <w:i/>
        </w:rPr>
        <w:t xml:space="preserve">Integrated Power System Plan </w:t>
      </w:r>
      <w:r w:rsidR="00DD5EFA">
        <w:rPr>
          <w:rFonts w:ascii="Arial" w:hAnsi="Arial" w:cs="Arial"/>
        </w:rPr>
        <w:t>identified the need to</w:t>
      </w:r>
      <w:r>
        <w:rPr>
          <w:rFonts w:ascii="Arial" w:hAnsi="Arial" w:cs="Arial"/>
        </w:rPr>
        <w:t xml:space="preserve"> ensure adequate supply; double the amount of renewables; reduce demand; replace coal; strengthen the transmission system; and to ensure stable energy prices.</w:t>
      </w:r>
      <w:r>
        <w:rPr>
          <w:rStyle w:val="FootnoteReference"/>
          <w:rFonts w:ascii="Arial" w:hAnsi="Arial" w:cs="Arial"/>
        </w:rPr>
        <w:footnoteReference w:id="7"/>
      </w:r>
      <w:r>
        <w:rPr>
          <w:rFonts w:ascii="Arial" w:hAnsi="Arial" w:cs="Arial"/>
        </w:rPr>
        <w:t xml:space="preserve">  This was reinforced by the </w:t>
      </w:r>
      <w:r w:rsidRPr="00DD5EFA">
        <w:rPr>
          <w:rFonts w:ascii="Arial" w:hAnsi="Arial" w:cs="Arial"/>
          <w:i/>
        </w:rPr>
        <w:t>Green Energy Act</w:t>
      </w:r>
      <w:r>
        <w:rPr>
          <w:rFonts w:ascii="Arial" w:hAnsi="Arial" w:cs="Arial"/>
        </w:rPr>
        <w:t xml:space="preserve"> in 2009, which aimed to expedite the growth of clean renewable sources of energy, especially allowing for Feed-in-Tariffs to guarantee rates for certain types of power, and allow such power sources easier access to the overall power grid.</w:t>
      </w:r>
    </w:p>
    <w:p w:rsidR="00860C43" w:rsidRDefault="00860C43" w:rsidP="00860C43">
      <w:pPr>
        <w:rPr>
          <w:rFonts w:ascii="Arial" w:hAnsi="Arial" w:cs="Arial"/>
        </w:rPr>
      </w:pPr>
    </w:p>
    <w:p w:rsidR="00860C43" w:rsidRDefault="00EF212A" w:rsidP="00860C43">
      <w:pPr>
        <w:rPr>
          <w:rFonts w:ascii="Arial" w:hAnsi="Arial" w:cs="Arial"/>
        </w:rPr>
      </w:pPr>
      <w:r>
        <w:rPr>
          <w:rFonts w:ascii="Arial" w:hAnsi="Arial" w:cs="Arial"/>
        </w:rPr>
        <w:t>As of 2013, Ontario produced 56</w:t>
      </w:r>
      <w:r w:rsidR="00860C43">
        <w:rPr>
          <w:rFonts w:ascii="Arial" w:hAnsi="Arial" w:cs="Arial"/>
        </w:rPr>
        <w:t>% of its power from nuclea</w:t>
      </w:r>
      <w:r>
        <w:rPr>
          <w:rFonts w:ascii="Arial" w:hAnsi="Arial" w:cs="Arial"/>
        </w:rPr>
        <w:t>r power, 22% by water, 10% by gas and oil, 3% by wind, 2% by coal and 7</w:t>
      </w:r>
      <w:r w:rsidR="00860C43">
        <w:rPr>
          <w:rFonts w:ascii="Arial" w:hAnsi="Arial" w:cs="Arial"/>
        </w:rPr>
        <w:t>% by other sources.  This mix is generally expected to hold in the future, with the exception that wind power is expected to</w:t>
      </w:r>
      <w:r>
        <w:rPr>
          <w:rFonts w:ascii="Arial" w:hAnsi="Arial" w:cs="Arial"/>
        </w:rPr>
        <w:t xml:space="preserve"> completely</w:t>
      </w:r>
      <w:r w:rsidR="00860C43">
        <w:rPr>
          <w:rFonts w:ascii="Arial" w:hAnsi="Arial" w:cs="Arial"/>
        </w:rPr>
        <w:t xml:space="preserve"> replace coal in the overall mix, and energy conservation initiatives as a whole are to lower overall demand.</w:t>
      </w:r>
      <w:r w:rsidR="00860C43">
        <w:rPr>
          <w:rStyle w:val="FootnoteReference"/>
          <w:rFonts w:ascii="Arial" w:hAnsi="Arial" w:cs="Arial"/>
        </w:rPr>
        <w:footnoteReference w:id="8"/>
      </w:r>
      <w:r w:rsidR="00860C43">
        <w:rPr>
          <w:rFonts w:ascii="Arial" w:hAnsi="Arial" w:cs="Arial"/>
        </w:rPr>
        <w:t xml:space="preserve">  To keep this mix in place, significant new investment will be required in nuclear, hydro-electric, </w:t>
      </w:r>
      <w:r w:rsidR="00860C43">
        <w:rPr>
          <w:rFonts w:ascii="Arial" w:hAnsi="Arial" w:cs="Arial"/>
        </w:rPr>
        <w:lastRenderedPageBreak/>
        <w:t>and wind power, most of which is expected to come from the private sector.  For example, since 2003 Ontario has signed more than 16,000 renewable energy supply contracts for wind, water, solar and bio-energy projects.  These involve corporate and community projects of varying scale, including “micro” projects involving homeowners, farme</w:t>
      </w:r>
      <w:r w:rsidR="00DD5EFA">
        <w:rPr>
          <w:rFonts w:ascii="Arial" w:hAnsi="Arial" w:cs="Arial"/>
        </w:rPr>
        <w:t>rs, and small businesses and a</w:t>
      </w:r>
      <w:r w:rsidR="00860C43">
        <w:rPr>
          <w:rFonts w:ascii="Arial" w:hAnsi="Arial" w:cs="Arial"/>
        </w:rPr>
        <w:t xml:space="preserve"> vast $7 billion agreement with Samsung for the production of large solar and wind projects.</w:t>
      </w:r>
      <w:r w:rsidR="00860C43">
        <w:rPr>
          <w:rStyle w:val="FootnoteReference"/>
          <w:rFonts w:ascii="Arial" w:hAnsi="Arial" w:cs="Arial"/>
        </w:rPr>
        <w:footnoteReference w:id="9"/>
      </w:r>
    </w:p>
    <w:p w:rsidR="00DD5EFA" w:rsidRDefault="00DD5EFA" w:rsidP="00860C43">
      <w:pPr>
        <w:rPr>
          <w:rFonts w:ascii="Arial" w:hAnsi="Arial" w:cs="Arial"/>
        </w:rPr>
      </w:pPr>
    </w:p>
    <w:p w:rsidR="00073F8C" w:rsidRDefault="00073F8C" w:rsidP="00860C43">
      <w:pPr>
        <w:rPr>
          <w:rFonts w:ascii="Arial" w:hAnsi="Arial" w:cs="Arial"/>
        </w:rPr>
      </w:pPr>
    </w:p>
    <w:p w:rsidR="00860C43" w:rsidRPr="00E95576" w:rsidRDefault="00860C43" w:rsidP="001E1AA8">
      <w:pPr>
        <w:pStyle w:val="Heading1"/>
      </w:pPr>
      <w:bookmarkStart w:id="7" w:name="_Toc467484548"/>
      <w:r>
        <w:t xml:space="preserve">3. </w:t>
      </w:r>
      <w:r w:rsidRPr="00E95576">
        <w:t>Analysis of Archives of Ontario Holdings</w:t>
      </w:r>
      <w:bookmarkEnd w:id="7"/>
    </w:p>
    <w:p w:rsidR="00860C43" w:rsidRPr="00E95576" w:rsidRDefault="00860C43" w:rsidP="00860C43">
      <w:pPr>
        <w:rPr>
          <w:rFonts w:ascii="Arial" w:hAnsi="Arial" w:cs="Arial"/>
        </w:rPr>
      </w:pPr>
      <w:r w:rsidRPr="00E95576">
        <w:rPr>
          <w:rFonts w:ascii="Arial" w:hAnsi="Arial" w:cs="Arial"/>
        </w:rPr>
        <w:t>In examining the holdings of the Archives of Ontario, a search of the Archives Descriptive Database was undertaken to determine what records have been acquired from the private sector that complement the functions of the government with respect to the administratio</w:t>
      </w:r>
      <w:r>
        <w:rPr>
          <w:rFonts w:ascii="Arial" w:hAnsi="Arial" w:cs="Arial"/>
        </w:rPr>
        <w:t xml:space="preserve">n and regulation of energy </w:t>
      </w:r>
      <w:r w:rsidRPr="00E95576">
        <w:rPr>
          <w:rFonts w:ascii="Arial" w:hAnsi="Arial" w:cs="Arial"/>
        </w:rPr>
        <w:t xml:space="preserve">. This revealed that the Archives’ holdings contain only a small number of private records documenting some of the functions carried out by the Ministry of </w:t>
      </w:r>
      <w:r>
        <w:rPr>
          <w:rFonts w:ascii="Arial" w:hAnsi="Arial" w:cs="Arial"/>
        </w:rPr>
        <w:t>Energy and its agencies</w:t>
      </w:r>
      <w:r w:rsidRPr="00E95576">
        <w:rPr>
          <w:rFonts w:ascii="Arial" w:hAnsi="Arial" w:cs="Arial"/>
        </w:rPr>
        <w:t>.</w:t>
      </w:r>
    </w:p>
    <w:p w:rsidR="00860C43" w:rsidRPr="00E95576" w:rsidRDefault="00860C43" w:rsidP="00860C43">
      <w:pPr>
        <w:rPr>
          <w:rFonts w:ascii="Arial" w:hAnsi="Arial" w:cs="Arial"/>
          <w:bCs/>
        </w:rPr>
      </w:pPr>
    </w:p>
    <w:p w:rsidR="00860C43" w:rsidRPr="00E95576" w:rsidRDefault="00860C43" w:rsidP="00860C43">
      <w:pPr>
        <w:rPr>
          <w:rFonts w:ascii="Arial" w:hAnsi="Arial" w:cs="Arial"/>
        </w:rPr>
      </w:pPr>
      <w:r w:rsidRPr="00E95576">
        <w:rPr>
          <w:rFonts w:ascii="Arial" w:hAnsi="Arial" w:cs="Arial"/>
          <w:bCs/>
        </w:rPr>
        <w:t>The Archives of Ontario</w:t>
      </w:r>
      <w:r w:rsidRPr="00E95576">
        <w:rPr>
          <w:rFonts w:ascii="Arial" w:hAnsi="Arial" w:cs="Arial"/>
        </w:rPr>
        <w:t xml:space="preserve"> </w:t>
      </w:r>
      <w:r w:rsidR="00CC3BC7">
        <w:rPr>
          <w:rFonts w:ascii="Arial" w:hAnsi="Arial" w:cs="Arial"/>
        </w:rPr>
        <w:t xml:space="preserve">has identified </w:t>
      </w:r>
      <w:r>
        <w:rPr>
          <w:rFonts w:ascii="Arial" w:hAnsi="Arial" w:cs="Arial"/>
        </w:rPr>
        <w:t>the Ministry’s three</w:t>
      </w:r>
      <w:r w:rsidRPr="00E95576">
        <w:rPr>
          <w:rFonts w:ascii="Arial" w:hAnsi="Arial" w:cs="Arial"/>
        </w:rPr>
        <w:t xml:space="preserve"> core functions as:</w:t>
      </w:r>
    </w:p>
    <w:p w:rsidR="00860C43" w:rsidRPr="00E95576" w:rsidRDefault="00860C43" w:rsidP="00860C43">
      <w:pPr>
        <w:rPr>
          <w:rFonts w:ascii="Arial" w:hAnsi="Arial" w:cs="Arial"/>
        </w:rPr>
      </w:pPr>
    </w:p>
    <w:p w:rsidR="00860C43" w:rsidRDefault="00860C43" w:rsidP="00860C43">
      <w:pPr>
        <w:numPr>
          <w:ilvl w:val="0"/>
          <w:numId w:val="1"/>
        </w:numPr>
        <w:rPr>
          <w:rFonts w:ascii="Arial" w:hAnsi="Arial" w:cs="Arial"/>
          <w:bCs/>
          <w:iCs/>
          <w:lang w:val="en-GB"/>
        </w:rPr>
      </w:pPr>
      <w:r w:rsidRPr="0083110F">
        <w:rPr>
          <w:rFonts w:ascii="Arial" w:hAnsi="Arial" w:cs="Arial"/>
          <w:bCs/>
          <w:iCs/>
          <w:lang w:val="en-GB"/>
        </w:rPr>
        <w:t>Managing energy supply</w:t>
      </w:r>
    </w:p>
    <w:p w:rsidR="00860C43" w:rsidRDefault="00860C43" w:rsidP="00860C43">
      <w:pPr>
        <w:numPr>
          <w:ilvl w:val="0"/>
          <w:numId w:val="1"/>
        </w:numPr>
        <w:tabs>
          <w:tab w:val="left" w:pos="360"/>
        </w:tabs>
        <w:autoSpaceDE w:val="0"/>
        <w:autoSpaceDN w:val="0"/>
        <w:adjustRightInd w:val="0"/>
        <w:rPr>
          <w:rFonts w:ascii="Arial" w:hAnsi="Arial" w:cs="Arial"/>
        </w:rPr>
      </w:pPr>
      <w:r>
        <w:rPr>
          <w:rFonts w:ascii="Arial" w:hAnsi="Arial" w:cs="Arial"/>
        </w:rPr>
        <w:t xml:space="preserve">Promoting energy conservation </w:t>
      </w:r>
    </w:p>
    <w:p w:rsidR="00860C43" w:rsidRDefault="00860C43" w:rsidP="00860C43">
      <w:pPr>
        <w:numPr>
          <w:ilvl w:val="0"/>
          <w:numId w:val="1"/>
        </w:numPr>
        <w:tabs>
          <w:tab w:val="left" w:pos="360"/>
        </w:tabs>
        <w:autoSpaceDE w:val="0"/>
        <w:autoSpaceDN w:val="0"/>
        <w:adjustRightInd w:val="0"/>
        <w:rPr>
          <w:rFonts w:ascii="Arial" w:hAnsi="Arial" w:cs="Arial"/>
        </w:rPr>
      </w:pPr>
      <w:r>
        <w:rPr>
          <w:rFonts w:ascii="Arial" w:hAnsi="Arial" w:cs="Arial"/>
        </w:rPr>
        <w:t>Regulating the energy sector</w:t>
      </w:r>
    </w:p>
    <w:p w:rsidR="00860C43" w:rsidRDefault="00860C43" w:rsidP="00860C43">
      <w:pPr>
        <w:rPr>
          <w:rFonts w:ascii="Arial" w:hAnsi="Arial" w:cs="Arial"/>
          <w:bCs/>
          <w:iCs/>
          <w:lang w:val="en-GB"/>
        </w:rPr>
      </w:pPr>
    </w:p>
    <w:p w:rsidR="00CC3BC7" w:rsidRDefault="00860C43" w:rsidP="00860C43">
      <w:pPr>
        <w:rPr>
          <w:rFonts w:ascii="Arial" w:hAnsi="Arial" w:cs="Arial"/>
          <w:bCs/>
          <w:iCs/>
          <w:lang w:val="en-GB"/>
        </w:rPr>
      </w:pPr>
      <w:r>
        <w:rPr>
          <w:rFonts w:ascii="Arial" w:hAnsi="Arial" w:cs="Arial"/>
          <w:bCs/>
          <w:iCs/>
          <w:lang w:val="en-GB"/>
        </w:rPr>
        <w:t xml:space="preserve">The Archives’ private records holdings are </w:t>
      </w:r>
      <w:r w:rsidR="0084448F">
        <w:rPr>
          <w:rFonts w:ascii="Arial" w:hAnsi="Arial" w:cs="Arial"/>
          <w:bCs/>
          <w:iCs/>
          <w:lang w:val="en-GB"/>
        </w:rPr>
        <w:t>not substantial and are, at best, tangentially related to all of</w:t>
      </w:r>
      <w:r w:rsidR="00CC3BC7">
        <w:rPr>
          <w:rFonts w:ascii="Arial" w:hAnsi="Arial" w:cs="Arial"/>
          <w:bCs/>
          <w:iCs/>
          <w:lang w:val="en-GB"/>
        </w:rPr>
        <w:t xml:space="preserve"> these functions.</w:t>
      </w:r>
      <w:r w:rsidR="00D12AB3">
        <w:rPr>
          <w:rFonts w:ascii="Arial" w:hAnsi="Arial" w:cs="Arial"/>
          <w:bCs/>
          <w:iCs/>
          <w:lang w:val="en-GB"/>
        </w:rPr>
        <w:t xml:space="preserve"> For example:</w:t>
      </w:r>
    </w:p>
    <w:p w:rsidR="00D12AB3" w:rsidRDefault="00D12AB3" w:rsidP="00860C43">
      <w:pPr>
        <w:rPr>
          <w:rFonts w:ascii="Arial" w:hAnsi="Arial" w:cs="Arial"/>
          <w:bCs/>
          <w:iCs/>
          <w:lang w:val="en-GB"/>
        </w:rPr>
      </w:pPr>
    </w:p>
    <w:p w:rsidR="00D12AB3" w:rsidRDefault="00D12AB3" w:rsidP="00D12AB3">
      <w:pPr>
        <w:pStyle w:val="ListParagraph"/>
        <w:numPr>
          <w:ilvl w:val="0"/>
          <w:numId w:val="11"/>
        </w:numPr>
        <w:rPr>
          <w:rFonts w:ascii="Arial" w:hAnsi="Arial" w:cs="Arial"/>
          <w:bCs/>
          <w:iCs/>
          <w:lang w:val="en-GB"/>
        </w:rPr>
      </w:pPr>
      <w:r w:rsidRPr="00D12AB3">
        <w:rPr>
          <w:rFonts w:ascii="Arial" w:hAnsi="Arial" w:cs="Arial"/>
          <w:bCs/>
          <w:iCs/>
          <w:lang w:val="en-GB"/>
        </w:rPr>
        <w:t>F 4617 – Technical Standards and Safety Authority fonds</w:t>
      </w:r>
      <w:r>
        <w:rPr>
          <w:rFonts w:ascii="Arial" w:hAnsi="Arial" w:cs="Arial"/>
          <w:bCs/>
          <w:iCs/>
          <w:lang w:val="en-GB"/>
        </w:rPr>
        <w:t xml:space="preserve"> contains material related to fuel safety and pressure vessels, including equipment used at nuclear generating stations.  However, the TSSA was established by the Government of Ontario to provide this function and many of its post-1980 records are government records.</w:t>
      </w:r>
    </w:p>
    <w:p w:rsidR="003F2AE7" w:rsidRDefault="003F2AE7" w:rsidP="003F2AE7">
      <w:pPr>
        <w:pStyle w:val="ListParagraph"/>
        <w:rPr>
          <w:rFonts w:ascii="Arial" w:hAnsi="Arial" w:cs="Arial"/>
          <w:bCs/>
          <w:iCs/>
          <w:lang w:val="en-GB"/>
        </w:rPr>
      </w:pPr>
    </w:p>
    <w:p w:rsidR="00860C43" w:rsidRPr="00D12AB3" w:rsidRDefault="00D12AB3" w:rsidP="00860C43">
      <w:pPr>
        <w:pStyle w:val="ListParagraph"/>
        <w:numPr>
          <w:ilvl w:val="0"/>
          <w:numId w:val="11"/>
        </w:numPr>
        <w:rPr>
          <w:rFonts w:ascii="Arial" w:hAnsi="Arial" w:cs="Arial"/>
          <w:bCs/>
          <w:iCs/>
          <w:lang w:val="en-GB"/>
        </w:rPr>
      </w:pPr>
      <w:r>
        <w:rPr>
          <w:rFonts w:ascii="Arial" w:hAnsi="Arial" w:cs="Arial"/>
          <w:bCs/>
          <w:iCs/>
          <w:lang w:val="en-GB"/>
        </w:rPr>
        <w:t>F 4563 – Peter Favot fonds contains several project files relating to solar energy and wood burning, as well as designs for energy efficient communities.  However, these only form a small part of the records relating to his overall architectural practice.</w:t>
      </w:r>
      <w:r w:rsidR="00860C43" w:rsidRPr="00D12AB3">
        <w:rPr>
          <w:rFonts w:ascii="Arial" w:hAnsi="Arial" w:cs="Arial"/>
          <w:bCs/>
          <w:iCs/>
          <w:lang w:val="en-GB"/>
        </w:rPr>
        <w:t xml:space="preserve"> </w:t>
      </w:r>
    </w:p>
    <w:p w:rsidR="00112117" w:rsidRDefault="00112117" w:rsidP="00860C43">
      <w:pPr>
        <w:rPr>
          <w:rFonts w:ascii="Arial" w:hAnsi="Arial" w:cs="Arial"/>
          <w:sz w:val="40"/>
          <w:szCs w:val="40"/>
        </w:rPr>
      </w:pPr>
    </w:p>
    <w:p w:rsidR="00860C43" w:rsidRPr="00E95576" w:rsidRDefault="00860C43" w:rsidP="001E1AA8">
      <w:pPr>
        <w:pStyle w:val="Heading1"/>
      </w:pPr>
      <w:bookmarkStart w:id="8" w:name="_Toc467484549"/>
      <w:r>
        <w:t xml:space="preserve">4. </w:t>
      </w:r>
      <w:r w:rsidRPr="00E95576">
        <w:t xml:space="preserve">Methodology for Analyzing the </w:t>
      </w:r>
      <w:r>
        <w:t>Energy</w:t>
      </w:r>
      <w:r w:rsidRPr="00E95576">
        <w:t xml:space="preserve"> Sector</w:t>
      </w:r>
      <w:bookmarkEnd w:id="8"/>
    </w:p>
    <w:p w:rsidR="00860C43" w:rsidRPr="00871FE4" w:rsidRDefault="00860C43" w:rsidP="00860C43">
      <w:pPr>
        <w:rPr>
          <w:rFonts w:ascii="Arial" w:hAnsi="Arial" w:cs="Arial"/>
        </w:rPr>
      </w:pPr>
      <w:r>
        <w:rPr>
          <w:rFonts w:ascii="Arial" w:hAnsi="Arial" w:cs="Arial"/>
        </w:rPr>
        <w:t>This section outlines the analysis methodology and rationale for how the sector was broken down and assessed.</w:t>
      </w:r>
    </w:p>
    <w:p w:rsidR="00860C43" w:rsidRDefault="00860C43" w:rsidP="00860C43">
      <w:pPr>
        <w:rPr>
          <w:rFonts w:ascii="Arial" w:hAnsi="Arial" w:cs="Arial"/>
        </w:rPr>
      </w:pPr>
    </w:p>
    <w:p w:rsidR="00860C43" w:rsidRPr="001E1AA8" w:rsidRDefault="00860C43" w:rsidP="001E1AA8">
      <w:pPr>
        <w:pStyle w:val="Heading2"/>
      </w:pPr>
      <w:bookmarkStart w:id="9" w:name="_Toc467484550"/>
      <w:r w:rsidRPr="001E1AA8">
        <w:t>Sub-sector Identifications</w:t>
      </w:r>
      <w:bookmarkEnd w:id="9"/>
    </w:p>
    <w:p w:rsidR="00860C43" w:rsidRPr="00483AA9" w:rsidRDefault="00860C43" w:rsidP="00860C43">
      <w:pPr>
        <w:rPr>
          <w:rFonts w:ascii="Arial" w:hAnsi="Arial" w:cs="Arial"/>
        </w:rPr>
      </w:pPr>
      <w:r>
        <w:rPr>
          <w:rFonts w:ascii="Arial" w:hAnsi="Arial" w:cs="Arial"/>
        </w:rPr>
        <w:t>Sub-sectors within the Energy sector were selected based upon an analysis of major activities related to energy generation, transmission and supply known to occur within Ontario, as well as activities relating to advocacy for or against certain types of power. Sub-sectors were identified based upon the major categories of organizations, bodies and individuals known to be involved or have an interest in such activities within the private sector.</w:t>
      </w:r>
    </w:p>
    <w:p w:rsidR="00860C43" w:rsidRPr="00871FE4" w:rsidRDefault="00860C43" w:rsidP="00860C43">
      <w:pPr>
        <w:rPr>
          <w:rFonts w:ascii="Arial" w:hAnsi="Arial" w:cs="Arial"/>
        </w:rPr>
      </w:pPr>
    </w:p>
    <w:p w:rsidR="00860C43" w:rsidRPr="00483AA9" w:rsidRDefault="00860C43" w:rsidP="001E1AA8">
      <w:pPr>
        <w:pStyle w:val="Heading2"/>
      </w:pPr>
      <w:bookmarkStart w:id="10" w:name="_Toc467484551"/>
      <w:r w:rsidRPr="00483AA9">
        <w:t>Exclusions and Limitations</w:t>
      </w:r>
      <w:bookmarkEnd w:id="10"/>
    </w:p>
    <w:p w:rsidR="00860C43" w:rsidRDefault="00860C43" w:rsidP="00860C43">
      <w:pPr>
        <w:rPr>
          <w:rFonts w:ascii="Arial" w:hAnsi="Arial" w:cs="Arial"/>
        </w:rPr>
      </w:pPr>
      <w:r>
        <w:rPr>
          <w:rFonts w:ascii="Arial" w:hAnsi="Arial" w:cs="Arial"/>
        </w:rPr>
        <w:t>This section provides an overview of certain sectors or categories in the Ontario energy sector which were excluded from the analysis.</w:t>
      </w:r>
    </w:p>
    <w:p w:rsidR="00860C43" w:rsidRDefault="00860C43" w:rsidP="00860C43">
      <w:pPr>
        <w:rPr>
          <w:rFonts w:ascii="Arial" w:hAnsi="Arial" w:cs="Arial"/>
        </w:rPr>
      </w:pPr>
    </w:p>
    <w:p w:rsidR="00CC3BC7" w:rsidRDefault="00860C43" w:rsidP="00860C43">
      <w:pPr>
        <w:numPr>
          <w:ilvl w:val="0"/>
          <w:numId w:val="9"/>
        </w:numPr>
        <w:rPr>
          <w:rFonts w:ascii="Arial" w:hAnsi="Arial" w:cs="Arial"/>
        </w:rPr>
      </w:pPr>
      <w:r>
        <w:rPr>
          <w:rFonts w:ascii="Arial" w:hAnsi="Arial" w:cs="Arial"/>
        </w:rPr>
        <w:t xml:space="preserve">The Ontario Energy Board is excluded as its records are covered </w:t>
      </w:r>
      <w:r w:rsidR="003F2AE7">
        <w:rPr>
          <w:rFonts w:ascii="Arial" w:hAnsi="Arial" w:cs="Arial"/>
        </w:rPr>
        <w:t>in Ontario</w:t>
      </w:r>
      <w:r>
        <w:rPr>
          <w:rFonts w:ascii="Arial" w:hAnsi="Arial" w:cs="Arial"/>
        </w:rPr>
        <w:t xml:space="preserve"> Regulation 336/07 under the </w:t>
      </w:r>
      <w:r>
        <w:rPr>
          <w:rFonts w:ascii="Arial" w:hAnsi="Arial" w:cs="Arial"/>
          <w:i/>
        </w:rPr>
        <w:t>Archives and Recordkeeping Act</w:t>
      </w:r>
      <w:r>
        <w:rPr>
          <w:rFonts w:ascii="Arial" w:hAnsi="Arial" w:cs="Arial"/>
        </w:rPr>
        <w:t>, 2006.</w:t>
      </w:r>
    </w:p>
    <w:p w:rsidR="00CC3BC7" w:rsidRDefault="00CC3BC7" w:rsidP="00CC3BC7">
      <w:pPr>
        <w:rPr>
          <w:rFonts w:ascii="Arial" w:hAnsi="Arial" w:cs="Arial"/>
          <w:sz w:val="40"/>
          <w:szCs w:val="40"/>
        </w:rPr>
      </w:pPr>
    </w:p>
    <w:p w:rsidR="00860C43" w:rsidRPr="00CC3BC7" w:rsidRDefault="003F2AE7" w:rsidP="001E1AA8">
      <w:pPr>
        <w:pStyle w:val="Heading1"/>
      </w:pPr>
      <w:bookmarkStart w:id="11" w:name="_Toc467484552"/>
      <w:r>
        <w:t xml:space="preserve">5. </w:t>
      </w:r>
      <w:r w:rsidR="00860C43" w:rsidRPr="00CC3BC7">
        <w:t>Appendix A</w:t>
      </w:r>
      <w:r>
        <w:t>: Analysis of Energy Sub-sectors</w:t>
      </w:r>
      <w:bookmarkEnd w:id="11"/>
    </w:p>
    <w:p w:rsidR="00860C43" w:rsidRDefault="00860C43" w:rsidP="00860C43">
      <w:pPr>
        <w:rPr>
          <w:rFonts w:ascii="Arial" w:hAnsi="Arial" w:cs="Arial"/>
        </w:rPr>
      </w:pPr>
      <w:r>
        <w:rPr>
          <w:rFonts w:ascii="Arial" w:hAnsi="Arial" w:cs="Arial"/>
        </w:rPr>
        <w:t>Appendix A has been created for the purpose of</w:t>
      </w:r>
      <w:r w:rsidRPr="00890A6D">
        <w:rPr>
          <w:rFonts w:ascii="Arial" w:hAnsi="Arial" w:cs="Arial"/>
        </w:rPr>
        <w:t xml:space="preserve"> exami</w:t>
      </w:r>
      <w:r>
        <w:rPr>
          <w:rFonts w:ascii="Arial" w:hAnsi="Arial" w:cs="Arial"/>
        </w:rPr>
        <w:t>ning the scope of Energy</w:t>
      </w:r>
      <w:r w:rsidRPr="00890A6D">
        <w:rPr>
          <w:rFonts w:ascii="Arial" w:hAnsi="Arial" w:cs="Arial"/>
        </w:rPr>
        <w:t xml:space="preserve"> Sector with respect to: </w:t>
      </w:r>
    </w:p>
    <w:p w:rsidR="00860C43" w:rsidRDefault="00860C43" w:rsidP="00860C43">
      <w:pPr>
        <w:rPr>
          <w:rFonts w:ascii="Arial" w:hAnsi="Arial" w:cs="Arial"/>
        </w:rPr>
      </w:pPr>
    </w:p>
    <w:p w:rsidR="00860C43" w:rsidRDefault="00860C43" w:rsidP="00860C43">
      <w:pPr>
        <w:numPr>
          <w:ilvl w:val="0"/>
          <w:numId w:val="2"/>
        </w:numPr>
        <w:rPr>
          <w:rFonts w:ascii="Arial" w:hAnsi="Arial" w:cs="Arial"/>
        </w:rPr>
      </w:pPr>
      <w:r>
        <w:rPr>
          <w:rFonts w:ascii="Arial" w:hAnsi="Arial" w:cs="Arial"/>
        </w:rPr>
        <w:t>Identifying and defining sub-sectors and categories within the Energy Sector,</w:t>
      </w:r>
    </w:p>
    <w:p w:rsidR="00860C43" w:rsidRDefault="00860C43" w:rsidP="00860C43">
      <w:pPr>
        <w:numPr>
          <w:ilvl w:val="0"/>
          <w:numId w:val="2"/>
        </w:numPr>
        <w:rPr>
          <w:rFonts w:ascii="Arial" w:hAnsi="Arial" w:cs="Arial"/>
        </w:rPr>
      </w:pPr>
      <w:r>
        <w:rPr>
          <w:rFonts w:ascii="Arial" w:hAnsi="Arial" w:cs="Arial"/>
        </w:rPr>
        <w:t>Making connections between private sector activities and government functions,</w:t>
      </w:r>
    </w:p>
    <w:p w:rsidR="00860C43" w:rsidRDefault="00860C43" w:rsidP="00860C43">
      <w:pPr>
        <w:numPr>
          <w:ilvl w:val="0"/>
          <w:numId w:val="2"/>
        </w:numPr>
        <w:rPr>
          <w:rFonts w:ascii="Arial" w:hAnsi="Arial" w:cs="Arial"/>
        </w:rPr>
      </w:pPr>
      <w:r>
        <w:rPr>
          <w:rFonts w:ascii="Arial" w:hAnsi="Arial" w:cs="Arial"/>
        </w:rPr>
        <w:t>Identifying existing holdings in the Archives of Ontario related to the Energy Sector (containing records dated 1980 and later),</w:t>
      </w:r>
    </w:p>
    <w:p w:rsidR="00860C43" w:rsidRDefault="00860C43" w:rsidP="00860C43">
      <w:pPr>
        <w:numPr>
          <w:ilvl w:val="0"/>
          <w:numId w:val="2"/>
        </w:numPr>
        <w:rPr>
          <w:rFonts w:ascii="Arial" w:hAnsi="Arial" w:cs="Arial"/>
        </w:rPr>
      </w:pPr>
      <w:r>
        <w:rPr>
          <w:rFonts w:ascii="Arial" w:hAnsi="Arial" w:cs="Arial"/>
        </w:rPr>
        <w:t>Providing a rationale for the importance of acquiring documentation within a sub-sector or category, and</w:t>
      </w:r>
    </w:p>
    <w:p w:rsidR="00860C43" w:rsidRDefault="00860C43" w:rsidP="00860C43">
      <w:pPr>
        <w:numPr>
          <w:ilvl w:val="0"/>
          <w:numId w:val="2"/>
        </w:numPr>
        <w:rPr>
          <w:rFonts w:ascii="Arial" w:hAnsi="Arial" w:cs="Arial"/>
        </w:rPr>
      </w:pPr>
      <w:r>
        <w:rPr>
          <w:rFonts w:ascii="Arial" w:hAnsi="Arial" w:cs="Arial"/>
        </w:rPr>
        <w:t>Identifying level of acquisition priority for each sub-sector based upon the rationale.</w:t>
      </w:r>
    </w:p>
    <w:p w:rsidR="00860C43" w:rsidRDefault="00860C43" w:rsidP="00860C43">
      <w:pPr>
        <w:rPr>
          <w:rFonts w:ascii="Arial" w:hAnsi="Arial" w:cs="Arial"/>
        </w:rPr>
      </w:pPr>
    </w:p>
    <w:p w:rsidR="00860C43" w:rsidRDefault="00860C43" w:rsidP="001E1AA8">
      <w:pPr>
        <w:pStyle w:val="Heading2"/>
      </w:pPr>
      <w:bookmarkStart w:id="12" w:name="_Toc467484553"/>
      <w:r>
        <w:t>Energy Sub-sectors:</w:t>
      </w:r>
      <w:bookmarkEnd w:id="12"/>
    </w:p>
    <w:p w:rsidR="00860C43" w:rsidRDefault="00860C43" w:rsidP="00860C43">
      <w:pPr>
        <w:rPr>
          <w:rFonts w:ascii="Arial" w:hAnsi="Arial" w:cs="Arial"/>
        </w:rPr>
      </w:pPr>
      <w:r>
        <w:rPr>
          <w:rFonts w:ascii="Arial" w:hAnsi="Arial" w:cs="Arial"/>
        </w:rPr>
        <w:t>For the purposes of analysis, the activities within the Energy Sector have been divided into the following sub-sectors in Appendix A.</w:t>
      </w:r>
    </w:p>
    <w:p w:rsidR="00860C43" w:rsidRDefault="00860C43" w:rsidP="00860C43">
      <w:pPr>
        <w:rPr>
          <w:rFonts w:ascii="Arial" w:hAnsi="Arial" w:cs="Arial"/>
        </w:rPr>
      </w:pPr>
    </w:p>
    <w:p w:rsidR="00860C43" w:rsidRDefault="00860C43" w:rsidP="00860C43">
      <w:pPr>
        <w:numPr>
          <w:ilvl w:val="0"/>
          <w:numId w:val="6"/>
        </w:numPr>
        <w:rPr>
          <w:rFonts w:ascii="Arial" w:hAnsi="Arial" w:cs="Arial"/>
        </w:rPr>
      </w:pPr>
      <w:r>
        <w:rPr>
          <w:rFonts w:ascii="Arial" w:hAnsi="Arial" w:cs="Arial"/>
        </w:rPr>
        <w:t>Corporate power generators</w:t>
      </w:r>
    </w:p>
    <w:p w:rsidR="00860C43" w:rsidRDefault="00860C43" w:rsidP="00860C43">
      <w:pPr>
        <w:numPr>
          <w:ilvl w:val="0"/>
          <w:numId w:val="6"/>
        </w:numPr>
        <w:rPr>
          <w:rFonts w:ascii="Arial" w:hAnsi="Arial" w:cs="Arial"/>
        </w:rPr>
      </w:pPr>
      <w:r>
        <w:rPr>
          <w:rFonts w:ascii="Arial" w:hAnsi="Arial" w:cs="Arial"/>
        </w:rPr>
        <w:t>Community and individual power generators</w:t>
      </w:r>
    </w:p>
    <w:p w:rsidR="00860C43" w:rsidRDefault="00860C43" w:rsidP="00860C43">
      <w:pPr>
        <w:numPr>
          <w:ilvl w:val="0"/>
          <w:numId w:val="6"/>
        </w:numPr>
        <w:rPr>
          <w:rFonts w:ascii="Arial" w:hAnsi="Arial" w:cs="Arial"/>
        </w:rPr>
      </w:pPr>
      <w:r>
        <w:rPr>
          <w:rFonts w:ascii="Arial" w:hAnsi="Arial" w:cs="Arial"/>
        </w:rPr>
        <w:t>Power management, tra</w:t>
      </w:r>
      <w:r w:rsidR="00CC3BC7">
        <w:rPr>
          <w:rFonts w:ascii="Arial" w:hAnsi="Arial" w:cs="Arial"/>
        </w:rPr>
        <w:t>nsmission and planning agencies</w:t>
      </w:r>
    </w:p>
    <w:p w:rsidR="00860C43" w:rsidRDefault="00860C43" w:rsidP="00860C43">
      <w:pPr>
        <w:numPr>
          <w:ilvl w:val="0"/>
          <w:numId w:val="6"/>
        </w:numPr>
        <w:rPr>
          <w:rFonts w:ascii="Arial" w:hAnsi="Arial" w:cs="Arial"/>
        </w:rPr>
      </w:pPr>
      <w:r>
        <w:rPr>
          <w:rFonts w:ascii="Arial" w:hAnsi="Arial" w:cs="Arial"/>
        </w:rPr>
        <w:t>Advocacy organizations</w:t>
      </w:r>
    </w:p>
    <w:p w:rsidR="00860C43" w:rsidRDefault="00860C43" w:rsidP="00860C43">
      <w:pPr>
        <w:numPr>
          <w:ilvl w:val="0"/>
          <w:numId w:val="6"/>
        </w:numPr>
        <w:rPr>
          <w:rFonts w:ascii="Arial" w:hAnsi="Arial" w:cs="Arial"/>
        </w:rPr>
      </w:pPr>
      <w:r>
        <w:rPr>
          <w:rFonts w:ascii="Arial" w:hAnsi="Arial" w:cs="Arial"/>
        </w:rPr>
        <w:t>Alternative energy researchers</w:t>
      </w:r>
    </w:p>
    <w:p w:rsidR="00860C43" w:rsidRPr="00221579" w:rsidRDefault="00CC3BC7" w:rsidP="00860C43">
      <w:pPr>
        <w:numPr>
          <w:ilvl w:val="0"/>
          <w:numId w:val="6"/>
        </w:numPr>
        <w:rPr>
          <w:rFonts w:ascii="Arial" w:hAnsi="Arial" w:cs="Arial"/>
        </w:rPr>
      </w:pPr>
      <w:r>
        <w:rPr>
          <w:rFonts w:ascii="Arial" w:hAnsi="Arial" w:cs="Arial"/>
        </w:rPr>
        <w:lastRenderedPageBreak/>
        <w:t>Raw material suppliers</w:t>
      </w:r>
    </w:p>
    <w:p w:rsidR="00860C43" w:rsidRDefault="00860C43" w:rsidP="00860C43">
      <w:pPr>
        <w:rPr>
          <w:rFonts w:ascii="Arial" w:hAnsi="Arial" w:cs="Arial"/>
        </w:rPr>
      </w:pPr>
    </w:p>
    <w:p w:rsidR="00860C43" w:rsidRDefault="00860C43" w:rsidP="001E1AA8">
      <w:pPr>
        <w:pStyle w:val="Heading2"/>
      </w:pPr>
      <w:bookmarkStart w:id="13" w:name="_Toc467484554"/>
      <w:r>
        <w:t>Government Functional Linkages</w:t>
      </w:r>
      <w:bookmarkEnd w:id="13"/>
    </w:p>
    <w:p w:rsidR="00860C43" w:rsidRPr="00E95576" w:rsidRDefault="00860C43" w:rsidP="00860C43">
      <w:pPr>
        <w:rPr>
          <w:rFonts w:ascii="Arial" w:hAnsi="Arial" w:cs="Arial"/>
        </w:rPr>
      </w:pPr>
      <w:r>
        <w:rPr>
          <w:rFonts w:ascii="Arial" w:hAnsi="Arial" w:cs="Arial"/>
        </w:rPr>
        <w:t>The functional linkages provided in Appendix A are based upon the Ministry’s three</w:t>
      </w:r>
      <w:r w:rsidR="00CC3BC7">
        <w:rPr>
          <w:rFonts w:ascii="Arial" w:hAnsi="Arial" w:cs="Arial"/>
        </w:rPr>
        <w:t xml:space="preserve"> core functions of</w:t>
      </w:r>
      <w:r w:rsidRPr="00E95576">
        <w:rPr>
          <w:rFonts w:ascii="Arial" w:hAnsi="Arial" w:cs="Arial"/>
        </w:rPr>
        <w:t>:</w:t>
      </w:r>
    </w:p>
    <w:p w:rsidR="00860C43" w:rsidRPr="00E95576" w:rsidRDefault="00860C43" w:rsidP="00860C43">
      <w:pPr>
        <w:rPr>
          <w:rFonts w:ascii="Arial" w:hAnsi="Arial" w:cs="Arial"/>
        </w:rPr>
      </w:pPr>
    </w:p>
    <w:p w:rsidR="00860C43" w:rsidRDefault="00860C43" w:rsidP="00860C43">
      <w:pPr>
        <w:numPr>
          <w:ilvl w:val="0"/>
          <w:numId w:val="7"/>
        </w:numPr>
        <w:rPr>
          <w:rFonts w:ascii="Arial" w:hAnsi="Arial" w:cs="Arial"/>
          <w:bCs/>
          <w:iCs/>
          <w:lang w:val="en-GB"/>
        </w:rPr>
      </w:pPr>
      <w:r w:rsidRPr="0083110F">
        <w:rPr>
          <w:rFonts w:ascii="Arial" w:hAnsi="Arial" w:cs="Arial"/>
          <w:bCs/>
          <w:iCs/>
          <w:lang w:val="en-GB"/>
        </w:rPr>
        <w:t>Managing energy supply</w:t>
      </w:r>
    </w:p>
    <w:p w:rsidR="00860C43" w:rsidRDefault="00860C43" w:rsidP="00860C43">
      <w:pPr>
        <w:numPr>
          <w:ilvl w:val="0"/>
          <w:numId w:val="7"/>
        </w:numPr>
        <w:tabs>
          <w:tab w:val="left" w:pos="360"/>
        </w:tabs>
        <w:autoSpaceDE w:val="0"/>
        <w:autoSpaceDN w:val="0"/>
        <w:adjustRightInd w:val="0"/>
        <w:rPr>
          <w:rFonts w:ascii="Arial" w:hAnsi="Arial" w:cs="Arial"/>
        </w:rPr>
      </w:pPr>
      <w:r>
        <w:rPr>
          <w:rFonts w:ascii="Arial" w:hAnsi="Arial" w:cs="Arial"/>
        </w:rPr>
        <w:t xml:space="preserve">Promoting energy conservation </w:t>
      </w:r>
    </w:p>
    <w:p w:rsidR="00D54868" w:rsidRPr="00377761" w:rsidRDefault="00860C43" w:rsidP="00D54868">
      <w:pPr>
        <w:numPr>
          <w:ilvl w:val="0"/>
          <w:numId w:val="7"/>
        </w:numPr>
        <w:tabs>
          <w:tab w:val="left" w:pos="360"/>
        </w:tabs>
        <w:autoSpaceDE w:val="0"/>
        <w:autoSpaceDN w:val="0"/>
        <w:adjustRightInd w:val="0"/>
        <w:rPr>
          <w:rFonts w:ascii="Arial" w:hAnsi="Arial" w:cs="Arial"/>
        </w:rPr>
      </w:pPr>
      <w:r>
        <w:rPr>
          <w:rFonts w:ascii="Arial" w:hAnsi="Arial" w:cs="Arial"/>
        </w:rPr>
        <w:t>Regulating the energy sector</w:t>
      </w:r>
    </w:p>
    <w:p w:rsidR="00377761" w:rsidRDefault="00377761">
      <w:pPr>
        <w:rPr>
          <w:rFonts w:ascii="Arial" w:eastAsiaTheme="majorEastAsia" w:hAnsi="Arial" w:cs="Arial"/>
          <w:bCs/>
          <w:kern w:val="32"/>
          <w:sz w:val="40"/>
          <w:szCs w:val="40"/>
        </w:rPr>
      </w:pPr>
      <w:bookmarkStart w:id="14" w:name="_Toc467484555"/>
      <w:r>
        <w:br w:type="page"/>
      </w:r>
    </w:p>
    <w:p w:rsidR="001C4E13" w:rsidRDefault="00D54868" w:rsidP="001E1AA8">
      <w:pPr>
        <w:pStyle w:val="Heading1"/>
        <w:rPr>
          <w:color w:val="808080"/>
          <w:lang w:val="en-GB"/>
        </w:rPr>
      </w:pPr>
      <w:r w:rsidRPr="007A470B">
        <w:lastRenderedPageBreak/>
        <w:t>Appendix A</w:t>
      </w:r>
      <w:r>
        <w:t>: Analysis of Energy</w:t>
      </w:r>
      <w:r w:rsidRPr="007A470B">
        <w:t xml:space="preserve"> S</w:t>
      </w:r>
      <w:r>
        <w:t>ub-sectors</w:t>
      </w:r>
      <w:bookmarkEnd w:id="14"/>
    </w:p>
    <w:p w:rsidR="004B5EDC" w:rsidRPr="000705AC" w:rsidRDefault="004B5EDC" w:rsidP="001C4E13">
      <w:pPr>
        <w:rPr>
          <w:rFonts w:ascii="Arial" w:hAnsi="Arial" w:cs="Arial"/>
          <w:b/>
          <w:color w:val="808080"/>
          <w:lang w:val="en-GB"/>
        </w:rPr>
        <w:sectPr w:rsidR="004B5EDC" w:rsidRPr="000705AC" w:rsidSect="005B143A">
          <w:footerReference w:type="default" r:id="rId9"/>
          <w:headerReference w:type="first" r:id="rId10"/>
          <w:footerReference w:type="first" r:id="rId11"/>
          <w:pgSz w:w="12240" w:h="15840"/>
          <w:pgMar w:top="1440" w:right="1800" w:bottom="1440" w:left="1800" w:header="720" w:footer="720" w:gutter="0"/>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1960"/>
        <w:gridCol w:w="1577"/>
        <w:gridCol w:w="2126"/>
        <w:gridCol w:w="2547"/>
        <w:gridCol w:w="2131"/>
        <w:gridCol w:w="2409"/>
      </w:tblGrid>
      <w:tr w:rsidR="007A470B" w:rsidRPr="000365F4" w:rsidTr="005711C4">
        <w:trPr>
          <w:cantSplit/>
          <w:tblHeader/>
        </w:trPr>
        <w:tc>
          <w:tcPr>
            <w:tcW w:w="1684" w:type="dxa"/>
            <w:shd w:val="clear" w:color="auto" w:fill="auto"/>
          </w:tcPr>
          <w:p w:rsidR="00FD61D1" w:rsidRPr="000365F4" w:rsidRDefault="007A470B" w:rsidP="00CF722E">
            <w:pPr>
              <w:rPr>
                <w:rFonts w:ascii="Arial" w:hAnsi="Arial" w:cs="Arial"/>
                <w:b/>
                <w:bCs/>
                <w:sz w:val="20"/>
                <w:szCs w:val="20"/>
              </w:rPr>
            </w:pPr>
            <w:r>
              <w:rPr>
                <w:rFonts w:ascii="Arial" w:hAnsi="Arial" w:cs="Arial"/>
                <w:b/>
                <w:bCs/>
                <w:sz w:val="20"/>
                <w:szCs w:val="20"/>
              </w:rPr>
              <w:lastRenderedPageBreak/>
              <w:t>Sub-Sector</w:t>
            </w:r>
          </w:p>
        </w:tc>
        <w:tc>
          <w:tcPr>
            <w:tcW w:w="1960" w:type="dxa"/>
            <w:shd w:val="clear" w:color="auto" w:fill="auto"/>
          </w:tcPr>
          <w:p w:rsidR="00FD61D1" w:rsidRPr="000365F4" w:rsidRDefault="007A470B" w:rsidP="007A470B">
            <w:pPr>
              <w:rPr>
                <w:rFonts w:ascii="Arial" w:hAnsi="Arial" w:cs="Arial"/>
                <w:b/>
                <w:bCs/>
                <w:sz w:val="20"/>
                <w:szCs w:val="20"/>
              </w:rPr>
            </w:pPr>
            <w:r>
              <w:rPr>
                <w:rFonts w:ascii="Arial" w:hAnsi="Arial" w:cs="Arial"/>
                <w:b/>
                <w:bCs/>
                <w:sz w:val="20"/>
                <w:szCs w:val="20"/>
              </w:rPr>
              <w:t>Sub-S</w:t>
            </w:r>
            <w:r w:rsidR="00FD61D1" w:rsidRPr="000365F4">
              <w:rPr>
                <w:rFonts w:ascii="Arial" w:hAnsi="Arial" w:cs="Arial"/>
                <w:b/>
                <w:bCs/>
                <w:sz w:val="20"/>
                <w:szCs w:val="20"/>
              </w:rPr>
              <w:t>ector description</w:t>
            </w:r>
          </w:p>
        </w:tc>
        <w:tc>
          <w:tcPr>
            <w:tcW w:w="1577" w:type="dxa"/>
            <w:shd w:val="clear" w:color="auto" w:fill="auto"/>
          </w:tcPr>
          <w:p w:rsidR="00FD61D1" w:rsidRPr="000365F4" w:rsidRDefault="007A470B" w:rsidP="00CF722E">
            <w:pPr>
              <w:rPr>
                <w:rFonts w:ascii="Arial" w:hAnsi="Arial" w:cs="Arial"/>
                <w:b/>
                <w:bCs/>
                <w:sz w:val="20"/>
                <w:szCs w:val="20"/>
              </w:rPr>
            </w:pPr>
            <w:r>
              <w:rPr>
                <w:rFonts w:ascii="Arial" w:hAnsi="Arial" w:cs="Arial"/>
                <w:b/>
                <w:bCs/>
                <w:sz w:val="20"/>
                <w:szCs w:val="20"/>
              </w:rPr>
              <w:t xml:space="preserve">Related </w:t>
            </w:r>
            <w:r w:rsidR="00FD61D1" w:rsidRPr="000365F4">
              <w:rPr>
                <w:rFonts w:ascii="Arial" w:hAnsi="Arial" w:cs="Arial"/>
                <w:b/>
                <w:bCs/>
                <w:sz w:val="20"/>
                <w:szCs w:val="20"/>
              </w:rPr>
              <w:t xml:space="preserve">Government Function and responsible </w:t>
            </w:r>
            <w:r>
              <w:rPr>
                <w:rFonts w:ascii="Arial" w:hAnsi="Arial" w:cs="Arial"/>
                <w:b/>
                <w:bCs/>
                <w:sz w:val="20"/>
                <w:szCs w:val="20"/>
              </w:rPr>
              <w:t xml:space="preserve">Ontario </w:t>
            </w:r>
            <w:r w:rsidR="00FD61D1" w:rsidRPr="000365F4">
              <w:rPr>
                <w:rFonts w:ascii="Arial" w:hAnsi="Arial" w:cs="Arial"/>
                <w:b/>
                <w:bCs/>
                <w:sz w:val="20"/>
                <w:szCs w:val="20"/>
              </w:rPr>
              <w:t>ministry</w:t>
            </w:r>
          </w:p>
        </w:tc>
        <w:tc>
          <w:tcPr>
            <w:tcW w:w="2126" w:type="dxa"/>
            <w:shd w:val="clear" w:color="auto" w:fill="auto"/>
          </w:tcPr>
          <w:p w:rsidR="00FD61D1" w:rsidRPr="000365F4" w:rsidRDefault="00FD61D1" w:rsidP="00CF722E">
            <w:pPr>
              <w:rPr>
                <w:rFonts w:ascii="Arial" w:hAnsi="Arial" w:cs="Arial"/>
                <w:b/>
                <w:bCs/>
                <w:sz w:val="20"/>
                <w:szCs w:val="20"/>
              </w:rPr>
            </w:pPr>
            <w:r w:rsidRPr="000365F4">
              <w:rPr>
                <w:rFonts w:ascii="Arial" w:hAnsi="Arial" w:cs="Arial"/>
                <w:b/>
                <w:bCs/>
                <w:sz w:val="20"/>
                <w:szCs w:val="20"/>
              </w:rPr>
              <w:t>Related Archives of Ontario private holdings (</w:t>
            </w:r>
            <w:r w:rsidR="007A470B">
              <w:rPr>
                <w:rFonts w:ascii="Arial" w:hAnsi="Arial" w:cs="Arial"/>
                <w:b/>
                <w:bCs/>
                <w:sz w:val="20"/>
                <w:szCs w:val="20"/>
              </w:rPr>
              <w:t>containing records 1980-and later</w:t>
            </w:r>
            <w:r w:rsidRPr="000365F4">
              <w:rPr>
                <w:rFonts w:ascii="Arial" w:hAnsi="Arial" w:cs="Arial"/>
                <w:b/>
                <w:bCs/>
                <w:sz w:val="20"/>
                <w:szCs w:val="20"/>
              </w:rPr>
              <w:t>)</w:t>
            </w:r>
          </w:p>
        </w:tc>
        <w:tc>
          <w:tcPr>
            <w:tcW w:w="2547" w:type="dxa"/>
            <w:shd w:val="clear" w:color="auto" w:fill="auto"/>
          </w:tcPr>
          <w:p w:rsidR="00FD61D1" w:rsidRPr="000365F4" w:rsidRDefault="007A470B" w:rsidP="00CF722E">
            <w:pPr>
              <w:rPr>
                <w:rFonts w:ascii="Arial" w:hAnsi="Arial" w:cs="Arial"/>
                <w:b/>
                <w:bCs/>
                <w:sz w:val="20"/>
                <w:szCs w:val="20"/>
              </w:rPr>
            </w:pPr>
            <w:r>
              <w:rPr>
                <w:rFonts w:ascii="Arial" w:hAnsi="Arial" w:cs="Arial"/>
                <w:b/>
                <w:bCs/>
                <w:sz w:val="20"/>
                <w:szCs w:val="20"/>
              </w:rPr>
              <w:t xml:space="preserve">Sub-Sector </w:t>
            </w:r>
            <w:r w:rsidR="00FD61D1" w:rsidRPr="000365F4">
              <w:rPr>
                <w:rFonts w:ascii="Arial" w:hAnsi="Arial" w:cs="Arial"/>
                <w:b/>
                <w:bCs/>
                <w:sz w:val="20"/>
                <w:szCs w:val="20"/>
              </w:rPr>
              <w:t>appraisal rationale</w:t>
            </w:r>
          </w:p>
        </w:tc>
        <w:tc>
          <w:tcPr>
            <w:tcW w:w="2131" w:type="dxa"/>
            <w:shd w:val="clear" w:color="auto" w:fill="auto"/>
          </w:tcPr>
          <w:p w:rsidR="00FD61D1" w:rsidRPr="000365F4" w:rsidRDefault="000C1451" w:rsidP="00CF722E">
            <w:pPr>
              <w:rPr>
                <w:rFonts w:ascii="Arial" w:hAnsi="Arial" w:cs="Arial"/>
                <w:b/>
                <w:bCs/>
                <w:sz w:val="20"/>
                <w:szCs w:val="20"/>
              </w:rPr>
            </w:pPr>
            <w:r>
              <w:rPr>
                <w:rFonts w:ascii="Arial" w:hAnsi="Arial" w:cs="Arial"/>
                <w:b/>
                <w:bCs/>
                <w:sz w:val="20"/>
                <w:szCs w:val="20"/>
              </w:rPr>
              <w:t>Acquisitions</w:t>
            </w:r>
            <w:r w:rsidR="00FD61D1" w:rsidRPr="000365F4">
              <w:rPr>
                <w:rFonts w:ascii="Arial" w:hAnsi="Arial" w:cs="Arial"/>
                <w:b/>
                <w:bCs/>
                <w:sz w:val="20"/>
                <w:szCs w:val="20"/>
              </w:rPr>
              <w:t xml:space="preserve"> considerations</w:t>
            </w:r>
          </w:p>
        </w:tc>
        <w:tc>
          <w:tcPr>
            <w:tcW w:w="2409" w:type="dxa"/>
            <w:shd w:val="clear" w:color="auto" w:fill="auto"/>
          </w:tcPr>
          <w:p w:rsidR="00FD61D1" w:rsidRPr="000365F4" w:rsidRDefault="00FD61D1" w:rsidP="00CF722E">
            <w:pPr>
              <w:rPr>
                <w:rFonts w:ascii="Arial" w:hAnsi="Arial" w:cs="Arial"/>
                <w:b/>
                <w:bCs/>
                <w:sz w:val="20"/>
                <w:szCs w:val="20"/>
              </w:rPr>
            </w:pPr>
            <w:r w:rsidRPr="000365F4">
              <w:rPr>
                <w:rFonts w:ascii="Arial" w:hAnsi="Arial" w:cs="Arial"/>
                <w:b/>
                <w:bCs/>
                <w:sz w:val="20"/>
                <w:szCs w:val="20"/>
              </w:rPr>
              <w:t>Priority:</w:t>
            </w:r>
            <w:r w:rsidRPr="000365F4">
              <w:rPr>
                <w:rFonts w:ascii="Arial" w:hAnsi="Arial" w:cs="Arial"/>
                <w:b/>
                <w:bCs/>
                <w:sz w:val="20"/>
                <w:szCs w:val="20"/>
              </w:rPr>
              <w:br/>
              <w:t xml:space="preserve">High </w:t>
            </w:r>
            <w:r w:rsidRPr="000365F4">
              <w:rPr>
                <w:rFonts w:ascii="Arial" w:hAnsi="Arial" w:cs="Arial"/>
                <w:sz w:val="20"/>
                <w:szCs w:val="20"/>
              </w:rPr>
              <w:t xml:space="preserve">(AO has little to no documentation), </w:t>
            </w:r>
            <w:r w:rsidRPr="000365F4">
              <w:rPr>
                <w:rFonts w:ascii="Arial" w:hAnsi="Arial" w:cs="Arial"/>
                <w:sz w:val="20"/>
                <w:szCs w:val="20"/>
              </w:rPr>
              <w:br/>
            </w:r>
            <w:r w:rsidRPr="000365F4">
              <w:rPr>
                <w:rFonts w:ascii="Arial" w:hAnsi="Arial" w:cs="Arial"/>
                <w:b/>
                <w:bCs/>
                <w:sz w:val="20"/>
                <w:szCs w:val="20"/>
              </w:rPr>
              <w:t xml:space="preserve">Medium </w:t>
            </w:r>
            <w:r w:rsidRPr="000365F4">
              <w:rPr>
                <w:rFonts w:ascii="Arial" w:hAnsi="Arial" w:cs="Arial"/>
                <w:sz w:val="20"/>
                <w:szCs w:val="20"/>
              </w:rPr>
              <w:t xml:space="preserve">(AO has some documentation), </w:t>
            </w:r>
            <w:r w:rsidRPr="000365F4">
              <w:rPr>
                <w:rFonts w:ascii="Arial" w:hAnsi="Arial" w:cs="Arial"/>
                <w:sz w:val="20"/>
                <w:szCs w:val="20"/>
              </w:rPr>
              <w:br/>
            </w:r>
            <w:r w:rsidRPr="000365F4">
              <w:rPr>
                <w:rFonts w:ascii="Arial" w:hAnsi="Arial" w:cs="Arial"/>
                <w:b/>
                <w:bCs/>
                <w:sz w:val="20"/>
                <w:szCs w:val="20"/>
              </w:rPr>
              <w:t xml:space="preserve">Low </w:t>
            </w:r>
            <w:r w:rsidRPr="000365F4">
              <w:rPr>
                <w:rFonts w:ascii="Arial" w:hAnsi="Arial" w:cs="Arial"/>
                <w:sz w:val="20"/>
                <w:szCs w:val="20"/>
              </w:rPr>
              <w:t>(AO has significant documentation)</w:t>
            </w:r>
          </w:p>
        </w:tc>
      </w:tr>
      <w:tr w:rsidR="005711C4" w:rsidRPr="005711C4" w:rsidTr="005711C4">
        <w:trPr>
          <w:cantSplit/>
        </w:trPr>
        <w:tc>
          <w:tcPr>
            <w:tcW w:w="1684" w:type="dxa"/>
            <w:shd w:val="clear" w:color="auto" w:fill="auto"/>
          </w:tcPr>
          <w:p w:rsidR="005711C4" w:rsidRPr="003F2AE7" w:rsidRDefault="005711C4">
            <w:pPr>
              <w:rPr>
                <w:rFonts w:ascii="Arial" w:hAnsi="Arial" w:cs="Arial"/>
                <w:iCs/>
                <w:sz w:val="20"/>
                <w:szCs w:val="20"/>
              </w:rPr>
            </w:pPr>
            <w:r w:rsidRPr="003F2AE7">
              <w:rPr>
                <w:rFonts w:ascii="Arial" w:hAnsi="Arial" w:cs="Arial"/>
                <w:iCs/>
                <w:sz w:val="20"/>
                <w:szCs w:val="20"/>
              </w:rPr>
              <w:t>Corporate power generators</w:t>
            </w:r>
          </w:p>
        </w:tc>
        <w:tc>
          <w:tcPr>
            <w:tcW w:w="1960" w:type="dxa"/>
            <w:shd w:val="clear" w:color="auto" w:fill="auto"/>
          </w:tcPr>
          <w:p w:rsidR="005711C4" w:rsidRPr="003F2AE7" w:rsidRDefault="005711C4">
            <w:pPr>
              <w:rPr>
                <w:rFonts w:ascii="Arial" w:hAnsi="Arial" w:cs="Arial"/>
                <w:iCs/>
                <w:sz w:val="20"/>
                <w:szCs w:val="20"/>
              </w:rPr>
            </w:pPr>
            <w:r w:rsidRPr="003F2AE7">
              <w:rPr>
                <w:rFonts w:ascii="Arial" w:hAnsi="Arial" w:cs="Arial"/>
                <w:iCs/>
                <w:sz w:val="20"/>
                <w:szCs w:val="20"/>
              </w:rPr>
              <w:t>This sub-sector includes all companies which operate power plants or other energy producing facilities which organize themselves on a profit motive.</w:t>
            </w:r>
          </w:p>
        </w:tc>
        <w:tc>
          <w:tcPr>
            <w:tcW w:w="1577" w:type="dxa"/>
            <w:shd w:val="clear" w:color="auto" w:fill="auto"/>
          </w:tcPr>
          <w:p w:rsidR="005711C4" w:rsidRPr="003F2AE7" w:rsidRDefault="005711C4">
            <w:pPr>
              <w:rPr>
                <w:rFonts w:ascii="Arial" w:hAnsi="Arial" w:cs="Arial"/>
                <w:iCs/>
                <w:sz w:val="20"/>
                <w:szCs w:val="20"/>
              </w:rPr>
            </w:pPr>
            <w:r w:rsidRPr="003F2AE7">
              <w:rPr>
                <w:rFonts w:ascii="Arial" w:hAnsi="Arial" w:cs="Arial"/>
                <w:iCs/>
                <w:sz w:val="20"/>
                <w:szCs w:val="20"/>
              </w:rPr>
              <w:t>Managing energy supply (Energy)</w:t>
            </w:r>
          </w:p>
        </w:tc>
        <w:tc>
          <w:tcPr>
            <w:tcW w:w="2126" w:type="dxa"/>
            <w:shd w:val="clear" w:color="auto" w:fill="auto"/>
          </w:tcPr>
          <w:p w:rsidR="005711C4" w:rsidRPr="003F2AE7" w:rsidRDefault="005711C4">
            <w:pPr>
              <w:rPr>
                <w:rFonts w:ascii="Arial" w:hAnsi="Arial" w:cs="Arial"/>
                <w:iCs/>
                <w:sz w:val="20"/>
                <w:szCs w:val="20"/>
              </w:rPr>
            </w:pPr>
            <w:r w:rsidRPr="003F2AE7">
              <w:rPr>
                <w:rFonts w:ascii="Arial" w:hAnsi="Arial" w:cs="Arial"/>
                <w:iCs/>
                <w:sz w:val="20"/>
                <w:szCs w:val="20"/>
              </w:rPr>
              <w:t>None</w:t>
            </w:r>
          </w:p>
        </w:tc>
        <w:tc>
          <w:tcPr>
            <w:tcW w:w="2547" w:type="dxa"/>
            <w:shd w:val="clear" w:color="auto" w:fill="auto"/>
          </w:tcPr>
          <w:p w:rsidR="005711C4" w:rsidRPr="003F2AE7" w:rsidRDefault="00CD43C9">
            <w:pPr>
              <w:rPr>
                <w:rFonts w:ascii="Arial" w:hAnsi="Arial" w:cs="Arial"/>
                <w:iCs/>
                <w:sz w:val="20"/>
                <w:szCs w:val="20"/>
              </w:rPr>
            </w:pPr>
            <w:r w:rsidRPr="003F2AE7">
              <w:rPr>
                <w:rFonts w:ascii="Arial" w:hAnsi="Arial" w:cs="Arial"/>
                <w:iCs/>
                <w:sz w:val="20"/>
                <w:szCs w:val="20"/>
              </w:rPr>
              <w:t>This sub-sector includes companies with a direct interest in the production and sale of power in the province. Records of these organizations will document corporate direction and interest in the energy sector and any divergence from government objectives.</w:t>
            </w:r>
          </w:p>
        </w:tc>
        <w:tc>
          <w:tcPr>
            <w:tcW w:w="2131" w:type="dxa"/>
            <w:shd w:val="clear" w:color="auto" w:fill="auto"/>
          </w:tcPr>
          <w:p w:rsidR="005711C4" w:rsidRPr="003F2AE7" w:rsidRDefault="005711C4">
            <w:pPr>
              <w:rPr>
                <w:rFonts w:ascii="Arial" w:hAnsi="Arial" w:cs="Arial"/>
                <w:iCs/>
                <w:sz w:val="20"/>
                <w:szCs w:val="20"/>
              </w:rPr>
            </w:pPr>
            <w:r w:rsidRPr="003F2AE7">
              <w:rPr>
                <w:rFonts w:ascii="Arial" w:hAnsi="Arial" w:cs="Arial"/>
                <w:iCs/>
                <w:sz w:val="20"/>
                <w:szCs w:val="20"/>
              </w:rPr>
              <w:t>The AO has no holdings in this sub-sector post-1980</w:t>
            </w:r>
          </w:p>
        </w:tc>
        <w:tc>
          <w:tcPr>
            <w:tcW w:w="2409" w:type="dxa"/>
            <w:shd w:val="clear" w:color="auto" w:fill="auto"/>
          </w:tcPr>
          <w:p w:rsidR="005711C4" w:rsidRPr="003F2AE7" w:rsidRDefault="005711C4">
            <w:pPr>
              <w:rPr>
                <w:rFonts w:ascii="Arial" w:hAnsi="Arial" w:cs="Arial"/>
                <w:iCs/>
                <w:sz w:val="20"/>
                <w:szCs w:val="20"/>
              </w:rPr>
            </w:pPr>
            <w:r w:rsidRPr="003F2AE7">
              <w:rPr>
                <w:rFonts w:ascii="Arial" w:hAnsi="Arial" w:cs="Arial"/>
                <w:iCs/>
                <w:sz w:val="20"/>
                <w:szCs w:val="20"/>
              </w:rPr>
              <w:t>HIGH</w:t>
            </w:r>
          </w:p>
        </w:tc>
      </w:tr>
      <w:tr w:rsidR="005711C4" w:rsidRPr="005711C4" w:rsidTr="005711C4">
        <w:trPr>
          <w:cantSplit/>
        </w:trPr>
        <w:tc>
          <w:tcPr>
            <w:tcW w:w="1684" w:type="dxa"/>
            <w:shd w:val="clear" w:color="auto" w:fill="auto"/>
          </w:tcPr>
          <w:p w:rsidR="005711C4" w:rsidRPr="003F2AE7" w:rsidRDefault="005711C4">
            <w:pPr>
              <w:rPr>
                <w:rFonts w:ascii="Arial" w:hAnsi="Arial" w:cs="Arial"/>
                <w:iCs/>
                <w:sz w:val="20"/>
                <w:szCs w:val="20"/>
              </w:rPr>
            </w:pPr>
            <w:r w:rsidRPr="003F2AE7">
              <w:rPr>
                <w:rFonts w:ascii="Arial" w:hAnsi="Arial" w:cs="Arial"/>
                <w:iCs/>
                <w:sz w:val="20"/>
                <w:szCs w:val="20"/>
              </w:rPr>
              <w:t>Community and individual power generators</w:t>
            </w:r>
          </w:p>
        </w:tc>
        <w:tc>
          <w:tcPr>
            <w:tcW w:w="1960" w:type="dxa"/>
            <w:shd w:val="clear" w:color="auto" w:fill="auto"/>
          </w:tcPr>
          <w:p w:rsidR="005711C4" w:rsidRPr="003F2AE7" w:rsidRDefault="005711C4">
            <w:pPr>
              <w:rPr>
                <w:rFonts w:ascii="Arial" w:hAnsi="Arial" w:cs="Arial"/>
                <w:iCs/>
                <w:sz w:val="20"/>
                <w:szCs w:val="20"/>
              </w:rPr>
            </w:pPr>
            <w:r w:rsidRPr="003F2AE7">
              <w:rPr>
                <w:rFonts w:ascii="Arial" w:hAnsi="Arial" w:cs="Arial"/>
                <w:iCs/>
                <w:sz w:val="20"/>
                <w:szCs w:val="20"/>
              </w:rPr>
              <w:t>This sub-sector includes individuals, community agencies, co-operatives and others who operate power plants or other energy producing facilities either directly or indirectly (though partial ownership) on a non-profit or cost-recovery basis.</w:t>
            </w:r>
          </w:p>
        </w:tc>
        <w:tc>
          <w:tcPr>
            <w:tcW w:w="1577" w:type="dxa"/>
            <w:shd w:val="clear" w:color="auto" w:fill="auto"/>
          </w:tcPr>
          <w:p w:rsidR="005711C4" w:rsidRPr="003F2AE7" w:rsidRDefault="005711C4">
            <w:pPr>
              <w:rPr>
                <w:rFonts w:ascii="Arial" w:hAnsi="Arial" w:cs="Arial"/>
                <w:iCs/>
                <w:sz w:val="20"/>
                <w:szCs w:val="20"/>
              </w:rPr>
            </w:pPr>
            <w:r w:rsidRPr="003F2AE7">
              <w:rPr>
                <w:rFonts w:ascii="Arial" w:hAnsi="Arial" w:cs="Arial"/>
                <w:iCs/>
                <w:sz w:val="20"/>
                <w:szCs w:val="20"/>
              </w:rPr>
              <w:t>Managing energy supply (Energy)</w:t>
            </w:r>
          </w:p>
        </w:tc>
        <w:tc>
          <w:tcPr>
            <w:tcW w:w="2126" w:type="dxa"/>
            <w:shd w:val="clear" w:color="auto" w:fill="auto"/>
          </w:tcPr>
          <w:p w:rsidR="005711C4" w:rsidRPr="003F2AE7" w:rsidRDefault="005711C4">
            <w:pPr>
              <w:rPr>
                <w:rFonts w:ascii="Arial" w:hAnsi="Arial" w:cs="Arial"/>
                <w:iCs/>
                <w:sz w:val="20"/>
                <w:szCs w:val="20"/>
              </w:rPr>
            </w:pPr>
            <w:r w:rsidRPr="003F2AE7">
              <w:rPr>
                <w:rFonts w:ascii="Arial" w:hAnsi="Arial" w:cs="Arial"/>
                <w:iCs/>
                <w:sz w:val="20"/>
                <w:szCs w:val="20"/>
              </w:rPr>
              <w:t>None</w:t>
            </w:r>
          </w:p>
        </w:tc>
        <w:tc>
          <w:tcPr>
            <w:tcW w:w="2547" w:type="dxa"/>
            <w:shd w:val="clear" w:color="auto" w:fill="auto"/>
          </w:tcPr>
          <w:p w:rsidR="005711C4" w:rsidRPr="003F2AE7" w:rsidRDefault="00CD43C9">
            <w:pPr>
              <w:rPr>
                <w:rFonts w:ascii="Arial" w:hAnsi="Arial" w:cs="Arial"/>
                <w:iCs/>
                <w:sz w:val="20"/>
                <w:szCs w:val="20"/>
              </w:rPr>
            </w:pPr>
            <w:r w:rsidRPr="003F2AE7">
              <w:rPr>
                <w:rFonts w:ascii="Arial" w:hAnsi="Arial" w:cs="Arial"/>
                <w:iCs/>
                <w:sz w:val="20"/>
                <w:szCs w:val="20"/>
              </w:rPr>
              <w:t>This sub-sector includes individuals, community agencies and co-operatives with a direct or indirect interest in the production and sale of power in the province. Records of these organizations will document co-operative direction and interest in the energy sector and any divergence from government objectives.</w:t>
            </w:r>
          </w:p>
        </w:tc>
        <w:tc>
          <w:tcPr>
            <w:tcW w:w="2131" w:type="dxa"/>
            <w:shd w:val="clear" w:color="auto" w:fill="auto"/>
          </w:tcPr>
          <w:p w:rsidR="005711C4" w:rsidRPr="003F2AE7" w:rsidRDefault="005711C4">
            <w:pPr>
              <w:rPr>
                <w:rFonts w:ascii="Arial" w:hAnsi="Arial" w:cs="Arial"/>
                <w:iCs/>
                <w:sz w:val="20"/>
                <w:szCs w:val="20"/>
              </w:rPr>
            </w:pPr>
            <w:r w:rsidRPr="003F2AE7">
              <w:rPr>
                <w:rFonts w:ascii="Arial" w:hAnsi="Arial" w:cs="Arial"/>
                <w:iCs/>
                <w:sz w:val="20"/>
                <w:szCs w:val="20"/>
              </w:rPr>
              <w:t>The AO has no holdings in this sub-sector post-1980</w:t>
            </w:r>
          </w:p>
        </w:tc>
        <w:tc>
          <w:tcPr>
            <w:tcW w:w="2409" w:type="dxa"/>
            <w:shd w:val="clear" w:color="auto" w:fill="auto"/>
          </w:tcPr>
          <w:p w:rsidR="005711C4" w:rsidRPr="003F2AE7" w:rsidRDefault="005711C4">
            <w:pPr>
              <w:rPr>
                <w:rFonts w:ascii="Arial" w:hAnsi="Arial" w:cs="Arial"/>
                <w:iCs/>
                <w:sz w:val="20"/>
                <w:szCs w:val="20"/>
              </w:rPr>
            </w:pPr>
            <w:r w:rsidRPr="003F2AE7">
              <w:rPr>
                <w:rFonts w:ascii="Arial" w:hAnsi="Arial" w:cs="Arial"/>
                <w:iCs/>
                <w:sz w:val="20"/>
                <w:szCs w:val="20"/>
              </w:rPr>
              <w:t>HIGH</w:t>
            </w:r>
          </w:p>
        </w:tc>
      </w:tr>
      <w:tr w:rsidR="005711C4" w:rsidRPr="005711C4" w:rsidTr="005711C4">
        <w:trPr>
          <w:cantSplit/>
        </w:trPr>
        <w:tc>
          <w:tcPr>
            <w:tcW w:w="1684" w:type="dxa"/>
            <w:shd w:val="clear" w:color="auto" w:fill="auto"/>
          </w:tcPr>
          <w:p w:rsidR="005711C4" w:rsidRPr="003F2AE7" w:rsidRDefault="005711C4">
            <w:pPr>
              <w:rPr>
                <w:rFonts w:ascii="Arial" w:hAnsi="Arial" w:cs="Arial"/>
                <w:iCs/>
                <w:sz w:val="20"/>
                <w:szCs w:val="20"/>
              </w:rPr>
            </w:pPr>
            <w:r w:rsidRPr="003F2AE7">
              <w:rPr>
                <w:rFonts w:ascii="Arial" w:hAnsi="Arial" w:cs="Arial"/>
                <w:iCs/>
                <w:sz w:val="20"/>
                <w:szCs w:val="20"/>
              </w:rPr>
              <w:lastRenderedPageBreak/>
              <w:t>Power management, transmission and planning agencies.</w:t>
            </w:r>
          </w:p>
        </w:tc>
        <w:tc>
          <w:tcPr>
            <w:tcW w:w="1960" w:type="dxa"/>
            <w:shd w:val="clear" w:color="auto" w:fill="auto"/>
          </w:tcPr>
          <w:p w:rsidR="005711C4" w:rsidRPr="003F2AE7" w:rsidRDefault="005711C4">
            <w:pPr>
              <w:rPr>
                <w:rFonts w:ascii="Arial" w:hAnsi="Arial" w:cs="Arial"/>
                <w:iCs/>
                <w:sz w:val="20"/>
                <w:szCs w:val="20"/>
              </w:rPr>
            </w:pPr>
            <w:r w:rsidRPr="003F2AE7">
              <w:rPr>
                <w:rFonts w:ascii="Arial" w:hAnsi="Arial" w:cs="Arial"/>
                <w:iCs/>
                <w:sz w:val="20"/>
                <w:szCs w:val="20"/>
              </w:rPr>
              <w:t>This sub-sector includes all agencies responsible for the integrity of the power grid and for planning short and long-term sustainability of energy production in the province.  These are almost all quasi-governmental organizations.</w:t>
            </w:r>
          </w:p>
        </w:tc>
        <w:tc>
          <w:tcPr>
            <w:tcW w:w="1577" w:type="dxa"/>
            <w:shd w:val="clear" w:color="auto" w:fill="auto"/>
          </w:tcPr>
          <w:p w:rsidR="005711C4" w:rsidRPr="003F2AE7" w:rsidRDefault="005711C4">
            <w:pPr>
              <w:rPr>
                <w:rFonts w:ascii="Arial" w:hAnsi="Arial" w:cs="Arial"/>
                <w:iCs/>
                <w:sz w:val="20"/>
                <w:szCs w:val="20"/>
              </w:rPr>
            </w:pPr>
            <w:r w:rsidRPr="003F2AE7">
              <w:rPr>
                <w:rFonts w:ascii="Arial" w:hAnsi="Arial" w:cs="Arial"/>
                <w:iCs/>
                <w:sz w:val="20"/>
                <w:szCs w:val="20"/>
              </w:rPr>
              <w:t>Regulating the energy sector (Energy)</w:t>
            </w:r>
          </w:p>
        </w:tc>
        <w:tc>
          <w:tcPr>
            <w:tcW w:w="2126" w:type="dxa"/>
            <w:shd w:val="clear" w:color="auto" w:fill="auto"/>
          </w:tcPr>
          <w:p w:rsidR="005711C4" w:rsidRPr="003F2AE7" w:rsidRDefault="005711C4">
            <w:pPr>
              <w:rPr>
                <w:rFonts w:ascii="Arial" w:hAnsi="Arial" w:cs="Arial"/>
                <w:iCs/>
                <w:sz w:val="20"/>
                <w:szCs w:val="20"/>
              </w:rPr>
            </w:pPr>
            <w:r w:rsidRPr="003F2AE7">
              <w:rPr>
                <w:rFonts w:ascii="Arial" w:hAnsi="Arial" w:cs="Arial"/>
                <w:iCs/>
                <w:sz w:val="20"/>
                <w:szCs w:val="20"/>
              </w:rPr>
              <w:t xml:space="preserve">F 4617 Technical Standards and Safety Authority fonds </w:t>
            </w:r>
          </w:p>
        </w:tc>
        <w:tc>
          <w:tcPr>
            <w:tcW w:w="2547" w:type="dxa"/>
            <w:shd w:val="clear" w:color="auto" w:fill="auto"/>
          </w:tcPr>
          <w:p w:rsidR="005711C4" w:rsidRPr="003F2AE7" w:rsidRDefault="00CD43C9">
            <w:pPr>
              <w:rPr>
                <w:rFonts w:ascii="Arial" w:hAnsi="Arial" w:cs="Arial"/>
                <w:iCs/>
                <w:sz w:val="20"/>
                <w:szCs w:val="20"/>
              </w:rPr>
            </w:pPr>
            <w:r w:rsidRPr="003F2AE7">
              <w:rPr>
                <w:rFonts w:ascii="Arial" w:hAnsi="Arial" w:cs="Arial"/>
                <w:iCs/>
                <w:sz w:val="20"/>
                <w:szCs w:val="20"/>
              </w:rPr>
              <w:t>This sub-sector includes organizations that secure the daily power supply for Ontarians. Records of these organizations will document policy priorities and changes in the transmission of energy.</w:t>
            </w:r>
          </w:p>
        </w:tc>
        <w:tc>
          <w:tcPr>
            <w:tcW w:w="2131" w:type="dxa"/>
            <w:shd w:val="clear" w:color="auto" w:fill="auto"/>
          </w:tcPr>
          <w:p w:rsidR="005711C4" w:rsidRPr="003F2AE7" w:rsidRDefault="005711C4">
            <w:pPr>
              <w:rPr>
                <w:rFonts w:ascii="Arial" w:hAnsi="Arial" w:cs="Arial"/>
                <w:iCs/>
                <w:sz w:val="20"/>
                <w:szCs w:val="20"/>
              </w:rPr>
            </w:pPr>
            <w:r w:rsidRPr="003F2AE7">
              <w:rPr>
                <w:rFonts w:ascii="Arial" w:hAnsi="Arial" w:cs="Arial"/>
                <w:iCs/>
                <w:sz w:val="20"/>
                <w:szCs w:val="20"/>
              </w:rPr>
              <w:t xml:space="preserve">The AO's holdings in this category are very limited for the post-1980 period. </w:t>
            </w:r>
          </w:p>
        </w:tc>
        <w:tc>
          <w:tcPr>
            <w:tcW w:w="2409" w:type="dxa"/>
            <w:shd w:val="clear" w:color="auto" w:fill="auto"/>
          </w:tcPr>
          <w:p w:rsidR="005711C4" w:rsidRPr="003F2AE7" w:rsidRDefault="005711C4">
            <w:pPr>
              <w:rPr>
                <w:rFonts w:ascii="Arial" w:hAnsi="Arial" w:cs="Arial"/>
                <w:iCs/>
                <w:sz w:val="20"/>
                <w:szCs w:val="20"/>
              </w:rPr>
            </w:pPr>
            <w:r w:rsidRPr="003F2AE7">
              <w:rPr>
                <w:rFonts w:ascii="Arial" w:hAnsi="Arial" w:cs="Arial"/>
                <w:iCs/>
                <w:sz w:val="20"/>
                <w:szCs w:val="20"/>
              </w:rPr>
              <w:t>HIGH</w:t>
            </w:r>
          </w:p>
        </w:tc>
      </w:tr>
      <w:tr w:rsidR="005711C4" w:rsidRPr="005711C4" w:rsidTr="005711C4">
        <w:trPr>
          <w:cantSplit/>
        </w:trPr>
        <w:tc>
          <w:tcPr>
            <w:tcW w:w="1684" w:type="dxa"/>
            <w:shd w:val="clear" w:color="auto" w:fill="auto"/>
          </w:tcPr>
          <w:p w:rsidR="005711C4" w:rsidRPr="003F2AE7" w:rsidRDefault="005711C4">
            <w:pPr>
              <w:rPr>
                <w:rFonts w:ascii="Arial" w:hAnsi="Arial" w:cs="Arial"/>
                <w:iCs/>
                <w:sz w:val="20"/>
                <w:szCs w:val="20"/>
              </w:rPr>
            </w:pPr>
            <w:r w:rsidRPr="003F2AE7">
              <w:rPr>
                <w:rFonts w:ascii="Arial" w:hAnsi="Arial" w:cs="Arial"/>
                <w:iCs/>
                <w:sz w:val="20"/>
                <w:szCs w:val="20"/>
              </w:rPr>
              <w:t>Advocacy organizations</w:t>
            </w:r>
          </w:p>
        </w:tc>
        <w:tc>
          <w:tcPr>
            <w:tcW w:w="1960" w:type="dxa"/>
            <w:shd w:val="clear" w:color="auto" w:fill="auto"/>
          </w:tcPr>
          <w:p w:rsidR="005711C4" w:rsidRPr="003F2AE7" w:rsidRDefault="00E0035D">
            <w:pPr>
              <w:rPr>
                <w:rFonts w:ascii="Arial" w:hAnsi="Arial" w:cs="Arial"/>
                <w:iCs/>
                <w:sz w:val="20"/>
                <w:szCs w:val="20"/>
              </w:rPr>
            </w:pPr>
            <w:r w:rsidRPr="003F2AE7">
              <w:rPr>
                <w:rFonts w:ascii="Arial" w:hAnsi="Arial" w:cs="Arial"/>
                <w:iCs/>
                <w:sz w:val="20"/>
                <w:szCs w:val="20"/>
              </w:rPr>
              <w:t>This sub-sector includes organizations which advocate for or against various sources of energy in Ontario, or for general conservation of energy.</w:t>
            </w:r>
          </w:p>
        </w:tc>
        <w:tc>
          <w:tcPr>
            <w:tcW w:w="1577" w:type="dxa"/>
            <w:shd w:val="clear" w:color="auto" w:fill="auto"/>
          </w:tcPr>
          <w:p w:rsidR="005711C4" w:rsidRPr="003F2AE7" w:rsidRDefault="005711C4">
            <w:pPr>
              <w:rPr>
                <w:rFonts w:ascii="Arial" w:hAnsi="Arial" w:cs="Arial"/>
                <w:iCs/>
                <w:sz w:val="20"/>
                <w:szCs w:val="20"/>
              </w:rPr>
            </w:pPr>
            <w:r w:rsidRPr="003F2AE7">
              <w:rPr>
                <w:rFonts w:ascii="Arial" w:hAnsi="Arial" w:cs="Arial"/>
                <w:iCs/>
                <w:sz w:val="20"/>
                <w:szCs w:val="20"/>
              </w:rPr>
              <w:t>Promoting energy conservation (Energy)</w:t>
            </w:r>
          </w:p>
        </w:tc>
        <w:tc>
          <w:tcPr>
            <w:tcW w:w="2126" w:type="dxa"/>
            <w:shd w:val="clear" w:color="auto" w:fill="auto"/>
          </w:tcPr>
          <w:p w:rsidR="005711C4" w:rsidRPr="003F2AE7" w:rsidRDefault="005711C4">
            <w:pPr>
              <w:rPr>
                <w:rFonts w:ascii="Arial" w:hAnsi="Arial" w:cs="Arial"/>
                <w:iCs/>
                <w:sz w:val="20"/>
                <w:szCs w:val="20"/>
              </w:rPr>
            </w:pPr>
            <w:r w:rsidRPr="003F2AE7">
              <w:rPr>
                <w:rFonts w:ascii="Arial" w:hAnsi="Arial" w:cs="Arial"/>
                <w:iCs/>
                <w:sz w:val="20"/>
                <w:szCs w:val="20"/>
              </w:rPr>
              <w:t>F 1057 Energy Probe fonds, F 1048 Pollution Probe fonds, F4642 Michael Hough fonds</w:t>
            </w:r>
          </w:p>
        </w:tc>
        <w:tc>
          <w:tcPr>
            <w:tcW w:w="2547" w:type="dxa"/>
            <w:shd w:val="clear" w:color="auto" w:fill="auto"/>
          </w:tcPr>
          <w:p w:rsidR="005711C4" w:rsidRPr="003F2AE7" w:rsidRDefault="00CD43C9">
            <w:pPr>
              <w:rPr>
                <w:rFonts w:ascii="Arial" w:hAnsi="Arial" w:cs="Arial"/>
                <w:iCs/>
                <w:sz w:val="20"/>
                <w:szCs w:val="20"/>
              </w:rPr>
            </w:pPr>
            <w:r w:rsidRPr="003F2AE7">
              <w:rPr>
                <w:rFonts w:ascii="Arial" w:hAnsi="Arial" w:cs="Arial"/>
                <w:iCs/>
                <w:sz w:val="20"/>
                <w:szCs w:val="20"/>
              </w:rPr>
              <w:t>This sub-category includes organizations active in society on a daily basis with the aim of shaping political discourse on energy options. Records of these organizations will document non-government positions on the generation and transmission of energy in the province, and significant citizen-state interactions in debate on these issues.</w:t>
            </w:r>
          </w:p>
        </w:tc>
        <w:tc>
          <w:tcPr>
            <w:tcW w:w="2131" w:type="dxa"/>
            <w:shd w:val="clear" w:color="auto" w:fill="auto"/>
          </w:tcPr>
          <w:p w:rsidR="005711C4" w:rsidRPr="003F2AE7" w:rsidRDefault="005711C4">
            <w:pPr>
              <w:rPr>
                <w:rFonts w:ascii="Arial" w:hAnsi="Arial" w:cs="Arial"/>
                <w:iCs/>
                <w:sz w:val="20"/>
                <w:szCs w:val="20"/>
              </w:rPr>
            </w:pPr>
            <w:r w:rsidRPr="003F2AE7">
              <w:rPr>
                <w:rFonts w:ascii="Arial" w:hAnsi="Arial" w:cs="Arial"/>
                <w:iCs/>
                <w:sz w:val="20"/>
                <w:szCs w:val="20"/>
              </w:rPr>
              <w:t xml:space="preserve">The AO's holdings in this category are very limited for the post-1980 period. </w:t>
            </w:r>
          </w:p>
        </w:tc>
        <w:tc>
          <w:tcPr>
            <w:tcW w:w="2409" w:type="dxa"/>
            <w:shd w:val="clear" w:color="auto" w:fill="auto"/>
          </w:tcPr>
          <w:p w:rsidR="005711C4" w:rsidRPr="003F2AE7" w:rsidRDefault="005711C4">
            <w:pPr>
              <w:rPr>
                <w:rFonts w:ascii="Arial" w:hAnsi="Arial" w:cs="Arial"/>
                <w:iCs/>
                <w:sz w:val="20"/>
                <w:szCs w:val="20"/>
              </w:rPr>
            </w:pPr>
            <w:r w:rsidRPr="003F2AE7">
              <w:rPr>
                <w:rFonts w:ascii="Arial" w:hAnsi="Arial" w:cs="Arial"/>
                <w:iCs/>
                <w:sz w:val="20"/>
                <w:szCs w:val="20"/>
              </w:rPr>
              <w:t>HIGH</w:t>
            </w:r>
          </w:p>
        </w:tc>
      </w:tr>
      <w:tr w:rsidR="005711C4" w:rsidRPr="005711C4" w:rsidTr="005711C4">
        <w:trPr>
          <w:cantSplit/>
        </w:trPr>
        <w:tc>
          <w:tcPr>
            <w:tcW w:w="1684" w:type="dxa"/>
            <w:shd w:val="clear" w:color="auto" w:fill="auto"/>
          </w:tcPr>
          <w:p w:rsidR="005711C4" w:rsidRPr="003F2AE7" w:rsidRDefault="005711C4">
            <w:pPr>
              <w:rPr>
                <w:rFonts w:ascii="Arial" w:hAnsi="Arial" w:cs="Arial"/>
                <w:iCs/>
                <w:sz w:val="20"/>
                <w:szCs w:val="20"/>
              </w:rPr>
            </w:pPr>
            <w:r w:rsidRPr="003F2AE7">
              <w:rPr>
                <w:rFonts w:ascii="Arial" w:hAnsi="Arial" w:cs="Arial"/>
                <w:iCs/>
                <w:sz w:val="20"/>
                <w:szCs w:val="20"/>
              </w:rPr>
              <w:lastRenderedPageBreak/>
              <w:t>Alternative energy researchers</w:t>
            </w:r>
          </w:p>
        </w:tc>
        <w:tc>
          <w:tcPr>
            <w:tcW w:w="1960" w:type="dxa"/>
            <w:shd w:val="clear" w:color="auto" w:fill="auto"/>
          </w:tcPr>
          <w:p w:rsidR="005711C4" w:rsidRPr="003F2AE7" w:rsidRDefault="00E0035D">
            <w:pPr>
              <w:rPr>
                <w:rFonts w:ascii="Arial" w:hAnsi="Arial" w:cs="Arial"/>
                <w:iCs/>
                <w:sz w:val="20"/>
                <w:szCs w:val="20"/>
              </w:rPr>
            </w:pPr>
            <w:r w:rsidRPr="003F2AE7">
              <w:rPr>
                <w:rFonts w:ascii="Arial" w:hAnsi="Arial" w:cs="Arial"/>
                <w:iCs/>
                <w:sz w:val="20"/>
                <w:szCs w:val="20"/>
              </w:rPr>
              <w:t>This sub-sector includes all individuals, groups or corporations which research alternate sources of energy.</w:t>
            </w:r>
          </w:p>
        </w:tc>
        <w:tc>
          <w:tcPr>
            <w:tcW w:w="1577" w:type="dxa"/>
            <w:shd w:val="clear" w:color="auto" w:fill="auto"/>
          </w:tcPr>
          <w:p w:rsidR="005711C4" w:rsidRPr="003F2AE7" w:rsidRDefault="005711C4">
            <w:pPr>
              <w:rPr>
                <w:rFonts w:ascii="Arial" w:hAnsi="Arial" w:cs="Arial"/>
                <w:iCs/>
                <w:sz w:val="20"/>
                <w:szCs w:val="20"/>
              </w:rPr>
            </w:pPr>
            <w:r w:rsidRPr="003F2AE7">
              <w:rPr>
                <w:rFonts w:ascii="Arial" w:hAnsi="Arial" w:cs="Arial"/>
                <w:iCs/>
                <w:sz w:val="20"/>
                <w:szCs w:val="20"/>
              </w:rPr>
              <w:t>Managing energy supply (Energy)</w:t>
            </w:r>
          </w:p>
        </w:tc>
        <w:tc>
          <w:tcPr>
            <w:tcW w:w="2126" w:type="dxa"/>
            <w:shd w:val="clear" w:color="auto" w:fill="auto"/>
          </w:tcPr>
          <w:p w:rsidR="005711C4" w:rsidRPr="003F2AE7" w:rsidRDefault="005711C4">
            <w:pPr>
              <w:rPr>
                <w:rFonts w:ascii="Arial" w:hAnsi="Arial" w:cs="Arial"/>
                <w:iCs/>
                <w:sz w:val="20"/>
                <w:szCs w:val="20"/>
              </w:rPr>
            </w:pPr>
            <w:r w:rsidRPr="003F2AE7">
              <w:rPr>
                <w:rFonts w:ascii="Arial" w:hAnsi="Arial" w:cs="Arial"/>
                <w:iCs/>
                <w:sz w:val="20"/>
                <w:szCs w:val="20"/>
              </w:rPr>
              <w:t>None</w:t>
            </w:r>
          </w:p>
        </w:tc>
        <w:tc>
          <w:tcPr>
            <w:tcW w:w="2547" w:type="dxa"/>
            <w:shd w:val="clear" w:color="auto" w:fill="auto"/>
          </w:tcPr>
          <w:p w:rsidR="005711C4" w:rsidRPr="003F2AE7" w:rsidRDefault="00E0035D">
            <w:pPr>
              <w:rPr>
                <w:rFonts w:ascii="Arial" w:hAnsi="Arial" w:cs="Arial"/>
                <w:iCs/>
                <w:sz w:val="20"/>
                <w:szCs w:val="20"/>
              </w:rPr>
            </w:pPr>
            <w:r w:rsidRPr="003F2AE7">
              <w:rPr>
                <w:rFonts w:ascii="Arial" w:hAnsi="Arial" w:cs="Arial"/>
                <w:iCs/>
                <w:sz w:val="20"/>
                <w:szCs w:val="20"/>
              </w:rPr>
              <w:t>This sub-category includes individuals whose activities improve the overall quality of life for Ontario through the provision of clean, affordable energy options. Records in this sub-category will document significant innovations in the energy sector, and policy options available to the government for alterations in the generation and transmission of energy.</w:t>
            </w:r>
          </w:p>
        </w:tc>
        <w:tc>
          <w:tcPr>
            <w:tcW w:w="2131" w:type="dxa"/>
            <w:shd w:val="clear" w:color="auto" w:fill="auto"/>
          </w:tcPr>
          <w:p w:rsidR="005711C4" w:rsidRPr="003F2AE7" w:rsidRDefault="005711C4">
            <w:pPr>
              <w:rPr>
                <w:rFonts w:ascii="Arial" w:hAnsi="Arial" w:cs="Arial"/>
                <w:iCs/>
                <w:sz w:val="20"/>
                <w:szCs w:val="20"/>
              </w:rPr>
            </w:pPr>
            <w:r w:rsidRPr="003F2AE7">
              <w:rPr>
                <w:rFonts w:ascii="Arial" w:hAnsi="Arial" w:cs="Arial"/>
                <w:iCs/>
                <w:sz w:val="20"/>
                <w:szCs w:val="20"/>
              </w:rPr>
              <w:t>The AO has no holdings in this sub-sector post-1980</w:t>
            </w:r>
          </w:p>
        </w:tc>
        <w:tc>
          <w:tcPr>
            <w:tcW w:w="2409" w:type="dxa"/>
            <w:shd w:val="clear" w:color="auto" w:fill="auto"/>
          </w:tcPr>
          <w:p w:rsidR="005711C4" w:rsidRPr="003F2AE7" w:rsidRDefault="005711C4">
            <w:pPr>
              <w:rPr>
                <w:rFonts w:ascii="Arial" w:hAnsi="Arial" w:cs="Arial"/>
                <w:iCs/>
                <w:sz w:val="20"/>
                <w:szCs w:val="20"/>
              </w:rPr>
            </w:pPr>
            <w:r w:rsidRPr="003F2AE7">
              <w:rPr>
                <w:rFonts w:ascii="Arial" w:hAnsi="Arial" w:cs="Arial"/>
                <w:iCs/>
                <w:sz w:val="20"/>
                <w:szCs w:val="20"/>
              </w:rPr>
              <w:t>HIGH</w:t>
            </w:r>
          </w:p>
        </w:tc>
      </w:tr>
      <w:tr w:rsidR="005711C4" w:rsidRPr="005711C4" w:rsidTr="005711C4">
        <w:trPr>
          <w:cantSplit/>
        </w:trPr>
        <w:tc>
          <w:tcPr>
            <w:tcW w:w="1684" w:type="dxa"/>
            <w:shd w:val="clear" w:color="auto" w:fill="auto"/>
          </w:tcPr>
          <w:p w:rsidR="005711C4" w:rsidRPr="003F2AE7" w:rsidRDefault="005711C4">
            <w:pPr>
              <w:rPr>
                <w:rFonts w:ascii="Arial" w:hAnsi="Arial" w:cs="Arial"/>
                <w:iCs/>
                <w:sz w:val="20"/>
                <w:szCs w:val="20"/>
              </w:rPr>
            </w:pPr>
            <w:r w:rsidRPr="003F2AE7">
              <w:rPr>
                <w:rFonts w:ascii="Arial" w:hAnsi="Arial" w:cs="Arial"/>
                <w:iCs/>
                <w:sz w:val="20"/>
                <w:szCs w:val="20"/>
              </w:rPr>
              <w:t>Raw material suppliers</w:t>
            </w:r>
          </w:p>
        </w:tc>
        <w:tc>
          <w:tcPr>
            <w:tcW w:w="1960" w:type="dxa"/>
            <w:shd w:val="clear" w:color="auto" w:fill="auto"/>
          </w:tcPr>
          <w:p w:rsidR="005711C4" w:rsidRPr="003F2AE7" w:rsidRDefault="005711C4">
            <w:pPr>
              <w:rPr>
                <w:rFonts w:ascii="Arial" w:hAnsi="Arial" w:cs="Arial"/>
                <w:iCs/>
                <w:sz w:val="20"/>
                <w:szCs w:val="20"/>
              </w:rPr>
            </w:pPr>
            <w:r w:rsidRPr="003F2AE7">
              <w:rPr>
                <w:rFonts w:ascii="Arial" w:hAnsi="Arial" w:cs="Arial"/>
                <w:iCs/>
                <w:sz w:val="20"/>
                <w:szCs w:val="20"/>
              </w:rPr>
              <w:t xml:space="preserve">This </w:t>
            </w:r>
            <w:r w:rsidR="00E0035D" w:rsidRPr="003F2AE7">
              <w:rPr>
                <w:rFonts w:ascii="Arial" w:hAnsi="Arial" w:cs="Arial"/>
                <w:iCs/>
                <w:sz w:val="20"/>
                <w:szCs w:val="20"/>
              </w:rPr>
              <w:t>sub-sector</w:t>
            </w:r>
            <w:r w:rsidRPr="003F2AE7">
              <w:rPr>
                <w:rFonts w:ascii="Arial" w:hAnsi="Arial" w:cs="Arial"/>
                <w:iCs/>
                <w:sz w:val="20"/>
                <w:szCs w:val="20"/>
              </w:rPr>
              <w:t xml:space="preserve"> includes all organizations responsible for the production and sale of raw materials for the production of energy in Ontario</w:t>
            </w:r>
          </w:p>
        </w:tc>
        <w:tc>
          <w:tcPr>
            <w:tcW w:w="1577" w:type="dxa"/>
            <w:shd w:val="clear" w:color="auto" w:fill="auto"/>
          </w:tcPr>
          <w:p w:rsidR="005711C4" w:rsidRPr="003F2AE7" w:rsidRDefault="005711C4" w:rsidP="005711C4">
            <w:pPr>
              <w:rPr>
                <w:rFonts w:ascii="Arial" w:hAnsi="Arial" w:cs="Arial"/>
                <w:iCs/>
                <w:sz w:val="20"/>
                <w:szCs w:val="20"/>
              </w:rPr>
            </w:pPr>
            <w:r w:rsidRPr="003F2AE7">
              <w:rPr>
                <w:rFonts w:ascii="Arial" w:hAnsi="Arial" w:cs="Arial"/>
                <w:iCs/>
                <w:sz w:val="20"/>
                <w:szCs w:val="20"/>
              </w:rPr>
              <w:t>Managing energy supply (Energy)</w:t>
            </w:r>
          </w:p>
          <w:p w:rsidR="005711C4" w:rsidRPr="003F2AE7" w:rsidRDefault="005711C4">
            <w:pPr>
              <w:rPr>
                <w:rFonts w:ascii="Arial" w:hAnsi="Arial" w:cs="Arial"/>
                <w:iCs/>
                <w:sz w:val="20"/>
                <w:szCs w:val="20"/>
              </w:rPr>
            </w:pPr>
          </w:p>
        </w:tc>
        <w:tc>
          <w:tcPr>
            <w:tcW w:w="2126" w:type="dxa"/>
            <w:shd w:val="clear" w:color="auto" w:fill="auto"/>
          </w:tcPr>
          <w:p w:rsidR="005711C4" w:rsidRPr="003F2AE7" w:rsidRDefault="005711C4">
            <w:pPr>
              <w:rPr>
                <w:rFonts w:ascii="Arial" w:hAnsi="Arial" w:cs="Arial"/>
                <w:iCs/>
                <w:sz w:val="20"/>
                <w:szCs w:val="20"/>
              </w:rPr>
            </w:pPr>
            <w:r w:rsidRPr="003F2AE7">
              <w:rPr>
                <w:rFonts w:ascii="Arial" w:hAnsi="Arial" w:cs="Arial"/>
                <w:iCs/>
                <w:sz w:val="20"/>
                <w:szCs w:val="20"/>
              </w:rPr>
              <w:t>None</w:t>
            </w:r>
          </w:p>
        </w:tc>
        <w:tc>
          <w:tcPr>
            <w:tcW w:w="2547" w:type="dxa"/>
            <w:shd w:val="clear" w:color="auto" w:fill="auto"/>
          </w:tcPr>
          <w:p w:rsidR="005711C4" w:rsidRPr="003F2AE7" w:rsidRDefault="00E0035D">
            <w:pPr>
              <w:rPr>
                <w:rFonts w:ascii="Arial" w:hAnsi="Arial" w:cs="Arial"/>
                <w:iCs/>
                <w:sz w:val="20"/>
                <w:szCs w:val="20"/>
              </w:rPr>
            </w:pPr>
            <w:r w:rsidRPr="003F2AE7">
              <w:rPr>
                <w:rFonts w:ascii="Arial" w:hAnsi="Arial" w:cs="Arial"/>
                <w:iCs/>
                <w:sz w:val="20"/>
                <w:szCs w:val="20"/>
              </w:rPr>
              <w:t>This sub-category includes organizations whose provision of raw materials are critical to the operation of active energy plants in Ontario. Records from these organizations will document the abilities and limitations available for policy decisions for the securing of raw materials for the generation and transmission of energy in the province.</w:t>
            </w:r>
          </w:p>
        </w:tc>
        <w:tc>
          <w:tcPr>
            <w:tcW w:w="2131" w:type="dxa"/>
            <w:shd w:val="clear" w:color="auto" w:fill="auto"/>
          </w:tcPr>
          <w:p w:rsidR="005711C4" w:rsidRPr="003F2AE7" w:rsidRDefault="005711C4" w:rsidP="005711C4">
            <w:pPr>
              <w:rPr>
                <w:rFonts w:ascii="Arial" w:hAnsi="Arial" w:cs="Arial"/>
                <w:iCs/>
                <w:sz w:val="20"/>
                <w:szCs w:val="20"/>
              </w:rPr>
            </w:pPr>
            <w:r w:rsidRPr="003F2AE7">
              <w:rPr>
                <w:rFonts w:ascii="Arial" w:hAnsi="Arial" w:cs="Arial"/>
                <w:iCs/>
                <w:sz w:val="20"/>
                <w:szCs w:val="20"/>
              </w:rPr>
              <w:t>The AO has no holdings in this sub-sector post-1980</w:t>
            </w:r>
          </w:p>
          <w:p w:rsidR="005711C4" w:rsidRPr="003F2AE7" w:rsidRDefault="005711C4">
            <w:pPr>
              <w:rPr>
                <w:rFonts w:ascii="Arial" w:hAnsi="Arial" w:cs="Arial"/>
                <w:iCs/>
                <w:sz w:val="20"/>
                <w:szCs w:val="20"/>
              </w:rPr>
            </w:pPr>
          </w:p>
        </w:tc>
        <w:tc>
          <w:tcPr>
            <w:tcW w:w="2409" w:type="dxa"/>
            <w:shd w:val="clear" w:color="auto" w:fill="auto"/>
          </w:tcPr>
          <w:p w:rsidR="005711C4" w:rsidRPr="003F2AE7" w:rsidRDefault="005711C4">
            <w:pPr>
              <w:rPr>
                <w:rFonts w:ascii="Arial" w:hAnsi="Arial" w:cs="Arial"/>
                <w:iCs/>
                <w:sz w:val="20"/>
                <w:szCs w:val="20"/>
              </w:rPr>
            </w:pPr>
            <w:r w:rsidRPr="003F2AE7">
              <w:rPr>
                <w:rFonts w:ascii="Arial" w:hAnsi="Arial" w:cs="Arial"/>
                <w:iCs/>
                <w:sz w:val="20"/>
                <w:szCs w:val="20"/>
              </w:rPr>
              <w:t>HIGH</w:t>
            </w:r>
          </w:p>
        </w:tc>
      </w:tr>
    </w:tbl>
    <w:p w:rsidR="009857E7" w:rsidRPr="005711C4" w:rsidRDefault="009857E7" w:rsidP="009857E7">
      <w:pPr>
        <w:rPr>
          <w:rFonts w:ascii="Arial" w:hAnsi="Arial" w:cs="Arial"/>
          <w:sz w:val="20"/>
          <w:szCs w:val="20"/>
          <w:lang w:val="en-GB"/>
        </w:rPr>
      </w:pPr>
    </w:p>
    <w:sectPr w:rsidR="009857E7" w:rsidRPr="005711C4" w:rsidSect="001C4E13">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1F7" w:rsidRDefault="00B771F7">
      <w:r>
        <w:separator/>
      </w:r>
    </w:p>
  </w:endnote>
  <w:endnote w:type="continuationSeparator" w:id="0">
    <w:p w:rsidR="00B771F7" w:rsidRDefault="00B7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43A" w:rsidRDefault="005B143A" w:rsidP="005B143A">
    <w:pPr>
      <w:pStyle w:val="Footer"/>
    </w:pPr>
    <w:r w:rsidRPr="005B143A">
      <w:rPr>
        <w:rFonts w:ascii="Arial" w:hAnsi="Arial" w:cs="Arial"/>
        <w:sz w:val="20"/>
        <w:szCs w:val="20"/>
      </w:rPr>
      <w:t xml:space="preserve">Analysis Report </w:t>
    </w:r>
    <w:r w:rsidR="00931476">
      <w:rPr>
        <w:rFonts w:ascii="Arial" w:hAnsi="Arial" w:cs="Arial"/>
        <w:sz w:val="20"/>
        <w:szCs w:val="20"/>
      </w:rPr>
      <w:t>of</w:t>
    </w:r>
    <w:r w:rsidR="004F53E8">
      <w:rPr>
        <w:rFonts w:ascii="Arial" w:hAnsi="Arial" w:cs="Arial"/>
        <w:sz w:val="20"/>
        <w:szCs w:val="20"/>
      </w:rPr>
      <w:t xml:space="preserve"> the </w:t>
    </w:r>
    <w:r w:rsidR="00D03E5F">
      <w:rPr>
        <w:rFonts w:ascii="Arial" w:hAnsi="Arial" w:cs="Arial"/>
        <w:sz w:val="20"/>
        <w:szCs w:val="20"/>
      </w:rPr>
      <w:t>Energy</w:t>
    </w:r>
    <w:r w:rsidRPr="005B143A">
      <w:rPr>
        <w:rFonts w:ascii="Arial" w:hAnsi="Arial" w:cs="Arial"/>
        <w:sz w:val="20"/>
        <w:szCs w:val="20"/>
      </w:rPr>
      <w:t xml:space="preserve"> Sector in Ontario</w:t>
    </w:r>
    <w:r w:rsidR="00931476">
      <w:rPr>
        <w:rFonts w:ascii="Arial" w:hAnsi="Arial" w:cs="Arial"/>
        <w:sz w:val="20"/>
        <w:szCs w:val="20"/>
      </w:rPr>
      <w:tab/>
    </w:r>
    <w:r>
      <w:tab/>
    </w:r>
    <w:r w:rsidRPr="005B143A">
      <w:rPr>
        <w:rFonts w:ascii="Arial" w:hAnsi="Arial" w:cs="Arial"/>
        <w:sz w:val="20"/>
        <w:szCs w:val="20"/>
      </w:rPr>
      <w:t xml:space="preserve">Page </w:t>
    </w:r>
    <w:r w:rsidRPr="005B143A">
      <w:rPr>
        <w:rFonts w:ascii="Arial" w:hAnsi="Arial" w:cs="Arial"/>
        <w:b/>
        <w:sz w:val="20"/>
        <w:szCs w:val="20"/>
      </w:rPr>
      <w:fldChar w:fldCharType="begin"/>
    </w:r>
    <w:r w:rsidRPr="005B143A">
      <w:rPr>
        <w:rFonts w:ascii="Arial" w:hAnsi="Arial" w:cs="Arial"/>
        <w:b/>
        <w:sz w:val="20"/>
        <w:szCs w:val="20"/>
      </w:rPr>
      <w:instrText xml:space="preserve"> PAGE  \* Arabic  \* MERGEFORMAT </w:instrText>
    </w:r>
    <w:r w:rsidRPr="005B143A">
      <w:rPr>
        <w:rFonts w:ascii="Arial" w:hAnsi="Arial" w:cs="Arial"/>
        <w:b/>
        <w:sz w:val="20"/>
        <w:szCs w:val="20"/>
      </w:rPr>
      <w:fldChar w:fldCharType="separate"/>
    </w:r>
    <w:r w:rsidR="0069195E">
      <w:rPr>
        <w:rFonts w:ascii="Arial" w:hAnsi="Arial" w:cs="Arial"/>
        <w:b/>
        <w:noProof/>
        <w:sz w:val="20"/>
        <w:szCs w:val="20"/>
      </w:rPr>
      <w:t>4</w:t>
    </w:r>
    <w:r w:rsidRPr="005B143A">
      <w:rPr>
        <w:rFonts w:ascii="Arial" w:hAnsi="Arial" w:cs="Arial"/>
        <w:b/>
        <w:sz w:val="20"/>
        <w:szCs w:val="20"/>
      </w:rPr>
      <w:fldChar w:fldCharType="end"/>
    </w:r>
    <w:r w:rsidRPr="005B143A">
      <w:rPr>
        <w:rFonts w:ascii="Arial" w:hAnsi="Arial" w:cs="Arial"/>
        <w:sz w:val="20"/>
        <w:szCs w:val="20"/>
      </w:rPr>
      <w:t xml:space="preserve"> of </w:t>
    </w:r>
    <w:r w:rsidRPr="005B143A">
      <w:rPr>
        <w:rFonts w:ascii="Arial" w:hAnsi="Arial" w:cs="Arial"/>
        <w:b/>
        <w:sz w:val="20"/>
        <w:szCs w:val="20"/>
      </w:rPr>
      <w:fldChar w:fldCharType="begin"/>
    </w:r>
    <w:r w:rsidRPr="005B143A">
      <w:rPr>
        <w:rFonts w:ascii="Arial" w:hAnsi="Arial" w:cs="Arial"/>
        <w:b/>
        <w:sz w:val="20"/>
        <w:szCs w:val="20"/>
      </w:rPr>
      <w:instrText xml:space="preserve"> NUMPAGES  \* Arabic  \* MERGEFORMAT </w:instrText>
    </w:r>
    <w:r w:rsidRPr="005B143A">
      <w:rPr>
        <w:rFonts w:ascii="Arial" w:hAnsi="Arial" w:cs="Arial"/>
        <w:b/>
        <w:sz w:val="20"/>
        <w:szCs w:val="20"/>
      </w:rPr>
      <w:fldChar w:fldCharType="separate"/>
    </w:r>
    <w:r w:rsidR="0069195E">
      <w:rPr>
        <w:rFonts w:ascii="Arial" w:hAnsi="Arial" w:cs="Arial"/>
        <w:b/>
        <w:noProof/>
        <w:sz w:val="20"/>
        <w:szCs w:val="20"/>
      </w:rPr>
      <w:t>11</w:t>
    </w:r>
    <w:r w:rsidRPr="005B143A">
      <w:rPr>
        <w:rFonts w:ascii="Arial" w:hAnsi="Arial" w:cs="Arial"/>
        <w:b/>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43A" w:rsidRDefault="00A32B93">
    <w:pPr>
      <w:pStyle w:val="Footer"/>
    </w:pPr>
    <w:r>
      <w:rPr>
        <w:rFonts w:ascii="Arial" w:hAnsi="Arial"/>
        <w:noProof/>
        <w:sz w:val="12"/>
      </w:rPr>
      <w:drawing>
        <wp:inline distT="0" distB="0" distL="0" distR="0" wp14:anchorId="47AC4B21" wp14:editId="37CB0954">
          <wp:extent cx="3314700" cy="571500"/>
          <wp:effectExtent l="0" t="0" r="0" b="0"/>
          <wp:docPr id="1" name="Picture 1" descr="AO Logo - Biling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O Logo - Bilingu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700" cy="571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1F7" w:rsidRDefault="00B771F7">
      <w:r>
        <w:separator/>
      </w:r>
    </w:p>
  </w:footnote>
  <w:footnote w:type="continuationSeparator" w:id="0">
    <w:p w:rsidR="00B771F7" w:rsidRDefault="00B771F7">
      <w:r>
        <w:continuationSeparator/>
      </w:r>
    </w:p>
  </w:footnote>
  <w:footnote w:id="1">
    <w:p w:rsidR="00860C43" w:rsidRPr="004B5EDC" w:rsidRDefault="00860C43" w:rsidP="00860C43">
      <w:pPr>
        <w:pStyle w:val="FootnoteText"/>
        <w:rPr>
          <w:rFonts w:ascii="Arial" w:hAnsi="Arial" w:cs="Arial"/>
        </w:rPr>
      </w:pPr>
      <w:r w:rsidRPr="004B5EDC">
        <w:rPr>
          <w:rStyle w:val="FootnoteReference"/>
          <w:rFonts w:ascii="Arial" w:hAnsi="Arial" w:cs="Arial"/>
        </w:rPr>
        <w:footnoteRef/>
      </w:r>
      <w:r w:rsidRPr="004B5EDC">
        <w:rPr>
          <w:rFonts w:ascii="Arial" w:hAnsi="Arial" w:cs="Arial"/>
        </w:rPr>
        <w:t xml:space="preserve"> </w:t>
      </w:r>
      <w:r w:rsidRPr="004B5EDC">
        <w:rPr>
          <w:rFonts w:ascii="Arial" w:hAnsi="Arial" w:cs="Arial"/>
          <w:i/>
        </w:rPr>
        <w:t>Ontario’s Long-Term Energy Plan</w:t>
      </w:r>
      <w:r w:rsidR="00DD5EFA" w:rsidRPr="004B5EDC">
        <w:rPr>
          <w:rFonts w:ascii="Arial" w:hAnsi="Arial" w:cs="Arial"/>
          <w:i/>
        </w:rPr>
        <w:t>: Building our Clean Energy Future</w:t>
      </w:r>
      <w:r w:rsidR="00EF212A" w:rsidRPr="004B5EDC">
        <w:rPr>
          <w:rFonts w:ascii="Arial" w:hAnsi="Arial" w:cs="Arial"/>
        </w:rPr>
        <w:t xml:space="preserve"> (Toronto: Queen’s Printer for Ontario, 2010)</w:t>
      </w:r>
      <w:r w:rsidRPr="004B5EDC">
        <w:rPr>
          <w:rFonts w:ascii="Arial" w:hAnsi="Arial" w:cs="Arial"/>
        </w:rPr>
        <w:t>, 5.</w:t>
      </w:r>
    </w:p>
  </w:footnote>
  <w:footnote w:id="2">
    <w:p w:rsidR="00860C43" w:rsidRPr="004B5EDC" w:rsidRDefault="00860C43" w:rsidP="00860C43">
      <w:pPr>
        <w:pStyle w:val="FootnoteText"/>
        <w:rPr>
          <w:rFonts w:ascii="Arial" w:hAnsi="Arial" w:cs="Arial"/>
        </w:rPr>
      </w:pPr>
      <w:r w:rsidRPr="004B5EDC">
        <w:rPr>
          <w:rStyle w:val="FootnoteReference"/>
          <w:rFonts w:ascii="Arial" w:hAnsi="Arial" w:cs="Arial"/>
        </w:rPr>
        <w:footnoteRef/>
      </w:r>
      <w:r w:rsidRPr="004B5EDC">
        <w:rPr>
          <w:rFonts w:ascii="Arial" w:hAnsi="Arial" w:cs="Arial"/>
        </w:rPr>
        <w:t xml:space="preserve"> Word Nuclear Association, </w:t>
      </w:r>
      <w:r w:rsidRPr="004B5EDC">
        <w:rPr>
          <w:rFonts w:ascii="Arial" w:hAnsi="Arial" w:cs="Arial"/>
          <w:i/>
        </w:rPr>
        <w:t>Nuclear Power in Canada</w:t>
      </w:r>
      <w:r w:rsidRPr="004B5EDC">
        <w:rPr>
          <w:rFonts w:ascii="Arial" w:hAnsi="Arial" w:cs="Arial"/>
        </w:rPr>
        <w:t xml:space="preserve"> (</w:t>
      </w:r>
      <w:r w:rsidRPr="004E2567">
        <w:rPr>
          <w:rFonts w:ascii="Arial" w:hAnsi="Arial" w:cs="Arial"/>
        </w:rPr>
        <w:t>www.w</w:t>
      </w:r>
      <w:bookmarkStart w:id="6" w:name="_GoBack"/>
      <w:bookmarkEnd w:id="6"/>
      <w:r w:rsidRPr="004E2567">
        <w:rPr>
          <w:rFonts w:ascii="Arial" w:hAnsi="Arial" w:cs="Arial"/>
        </w:rPr>
        <w:t>orld-nuclear.org</w:t>
      </w:r>
      <w:r w:rsidRPr="004B5EDC">
        <w:rPr>
          <w:rFonts w:ascii="Arial" w:hAnsi="Arial" w:cs="Arial"/>
        </w:rPr>
        <w:t>), 3.</w:t>
      </w:r>
    </w:p>
  </w:footnote>
  <w:footnote w:id="3">
    <w:p w:rsidR="00860C43" w:rsidRPr="004B5EDC" w:rsidRDefault="00860C43" w:rsidP="00860C43">
      <w:pPr>
        <w:pStyle w:val="FootnoteText"/>
        <w:rPr>
          <w:rFonts w:ascii="Arial" w:hAnsi="Arial" w:cs="Arial"/>
        </w:rPr>
      </w:pPr>
      <w:r w:rsidRPr="004B5EDC">
        <w:rPr>
          <w:rStyle w:val="FootnoteReference"/>
          <w:rFonts w:ascii="Arial" w:hAnsi="Arial" w:cs="Arial"/>
        </w:rPr>
        <w:footnoteRef/>
      </w:r>
      <w:r w:rsidRPr="004B5EDC">
        <w:rPr>
          <w:rFonts w:ascii="Arial" w:hAnsi="Arial" w:cs="Arial"/>
        </w:rPr>
        <w:t xml:space="preserve"> </w:t>
      </w:r>
      <w:r w:rsidRPr="004B5EDC">
        <w:rPr>
          <w:rFonts w:ascii="Arial" w:hAnsi="Arial" w:cs="Arial"/>
          <w:i/>
        </w:rPr>
        <w:t>Ontario’s Long-Term Energy Plan</w:t>
      </w:r>
      <w:r w:rsidRPr="004B5EDC">
        <w:rPr>
          <w:rFonts w:ascii="Arial" w:hAnsi="Arial" w:cs="Arial"/>
        </w:rPr>
        <w:t>, 5.</w:t>
      </w:r>
    </w:p>
  </w:footnote>
  <w:footnote w:id="4">
    <w:p w:rsidR="00860C43" w:rsidRPr="00565D57" w:rsidRDefault="00860C43" w:rsidP="00860C43">
      <w:pPr>
        <w:pStyle w:val="FootnoteText"/>
      </w:pPr>
      <w:r w:rsidRPr="004B5EDC">
        <w:rPr>
          <w:rStyle w:val="FootnoteReference"/>
          <w:rFonts w:ascii="Arial" w:hAnsi="Arial" w:cs="Arial"/>
        </w:rPr>
        <w:footnoteRef/>
      </w:r>
      <w:r w:rsidRPr="004B5EDC">
        <w:rPr>
          <w:rFonts w:ascii="Arial" w:hAnsi="Arial" w:cs="Arial"/>
        </w:rPr>
        <w:t xml:space="preserve"> </w:t>
      </w:r>
      <w:proofErr w:type="gramStart"/>
      <w:r w:rsidRPr="004B5EDC">
        <w:rPr>
          <w:rFonts w:ascii="Arial" w:hAnsi="Arial" w:cs="Arial"/>
        </w:rPr>
        <w:t xml:space="preserve">Andrew </w:t>
      </w:r>
      <w:proofErr w:type="spellStart"/>
      <w:r w:rsidRPr="004B5EDC">
        <w:rPr>
          <w:rFonts w:ascii="Arial" w:hAnsi="Arial" w:cs="Arial"/>
        </w:rPr>
        <w:t>Battison</w:t>
      </w:r>
      <w:proofErr w:type="spellEnd"/>
      <w:r w:rsidRPr="004B5EDC">
        <w:rPr>
          <w:rFonts w:ascii="Arial" w:hAnsi="Arial" w:cs="Arial"/>
        </w:rPr>
        <w:t xml:space="preserve">, </w:t>
      </w:r>
      <w:r w:rsidRPr="004B5EDC">
        <w:rPr>
          <w:rFonts w:ascii="Arial" w:hAnsi="Arial" w:cs="Arial"/>
          <w:i/>
        </w:rPr>
        <w:t>Eliminating Coal Electricity Production in Ontario</w:t>
      </w:r>
      <w:r w:rsidRPr="004B5EDC">
        <w:rPr>
          <w:rFonts w:ascii="Arial" w:hAnsi="Arial" w:cs="Arial"/>
        </w:rPr>
        <w:t>, 12.</w:t>
      </w:r>
      <w:proofErr w:type="gramEnd"/>
    </w:p>
  </w:footnote>
  <w:footnote w:id="5">
    <w:p w:rsidR="00860C43" w:rsidRPr="004B5EDC" w:rsidRDefault="00860C43" w:rsidP="00860C43">
      <w:pPr>
        <w:pStyle w:val="FootnoteText"/>
        <w:rPr>
          <w:rFonts w:ascii="Arial" w:hAnsi="Arial" w:cs="Arial"/>
        </w:rPr>
      </w:pPr>
      <w:r w:rsidRPr="004B5EDC">
        <w:rPr>
          <w:rStyle w:val="FootnoteReference"/>
          <w:rFonts w:ascii="Arial" w:hAnsi="Arial" w:cs="Arial"/>
        </w:rPr>
        <w:footnoteRef/>
      </w:r>
      <w:r w:rsidR="00EF212A" w:rsidRPr="004B5EDC">
        <w:rPr>
          <w:rFonts w:ascii="Arial" w:hAnsi="Arial" w:cs="Arial"/>
        </w:rPr>
        <w:t xml:space="preserve"> </w:t>
      </w:r>
      <w:proofErr w:type="gramStart"/>
      <w:r w:rsidR="00EF212A" w:rsidRPr="004B5EDC">
        <w:rPr>
          <w:rFonts w:ascii="Arial" w:hAnsi="Arial" w:cs="Arial"/>
        </w:rPr>
        <w:t>Ibid.,</w:t>
      </w:r>
      <w:proofErr w:type="gramEnd"/>
      <w:r w:rsidRPr="004B5EDC">
        <w:rPr>
          <w:rFonts w:ascii="Arial" w:hAnsi="Arial" w:cs="Arial"/>
        </w:rPr>
        <w:t xml:space="preserve"> 14-15.</w:t>
      </w:r>
    </w:p>
  </w:footnote>
  <w:footnote w:id="6">
    <w:p w:rsidR="00860C43" w:rsidRPr="004B5EDC" w:rsidRDefault="00860C43" w:rsidP="00860C43">
      <w:pPr>
        <w:pStyle w:val="FootnoteText"/>
        <w:rPr>
          <w:rFonts w:ascii="Arial" w:hAnsi="Arial" w:cs="Arial"/>
        </w:rPr>
      </w:pPr>
      <w:r w:rsidRPr="004B5EDC">
        <w:rPr>
          <w:rStyle w:val="FootnoteReference"/>
          <w:rFonts w:ascii="Arial" w:hAnsi="Arial" w:cs="Arial"/>
        </w:rPr>
        <w:footnoteRef/>
      </w:r>
      <w:r w:rsidRPr="004B5EDC">
        <w:rPr>
          <w:rFonts w:ascii="Arial" w:hAnsi="Arial" w:cs="Arial"/>
        </w:rPr>
        <w:t xml:space="preserve"> </w:t>
      </w:r>
      <w:r w:rsidRPr="004B5EDC">
        <w:rPr>
          <w:rFonts w:ascii="Arial" w:hAnsi="Arial" w:cs="Arial"/>
          <w:i/>
        </w:rPr>
        <w:t>Ontario’s Long-Term Energy Plan</w:t>
      </w:r>
      <w:r w:rsidRPr="004B5EDC">
        <w:rPr>
          <w:rFonts w:ascii="Arial" w:hAnsi="Arial" w:cs="Arial"/>
        </w:rPr>
        <w:t>, 5.</w:t>
      </w:r>
    </w:p>
  </w:footnote>
  <w:footnote w:id="7">
    <w:p w:rsidR="00860C43" w:rsidRPr="004B5EDC" w:rsidRDefault="00860C43" w:rsidP="00860C43">
      <w:pPr>
        <w:pStyle w:val="FootnoteText"/>
        <w:rPr>
          <w:rFonts w:ascii="Arial" w:hAnsi="Arial" w:cs="Arial"/>
          <w:i/>
        </w:rPr>
      </w:pPr>
      <w:r w:rsidRPr="004B5EDC">
        <w:rPr>
          <w:rStyle w:val="FootnoteReference"/>
          <w:rFonts w:ascii="Arial" w:hAnsi="Arial" w:cs="Arial"/>
        </w:rPr>
        <w:footnoteRef/>
      </w:r>
      <w:r w:rsidRPr="004B5EDC">
        <w:rPr>
          <w:rFonts w:ascii="Arial" w:hAnsi="Arial" w:cs="Arial"/>
        </w:rPr>
        <w:t xml:space="preserve"> </w:t>
      </w:r>
      <w:proofErr w:type="gramStart"/>
      <w:r w:rsidR="00EF212A" w:rsidRPr="004B5EDC">
        <w:rPr>
          <w:rFonts w:ascii="Arial" w:hAnsi="Arial" w:cs="Arial"/>
        </w:rPr>
        <w:t>Ibid.,</w:t>
      </w:r>
      <w:proofErr w:type="gramEnd"/>
      <w:r w:rsidR="00EF212A" w:rsidRPr="004B5EDC">
        <w:rPr>
          <w:rFonts w:ascii="Arial" w:hAnsi="Arial" w:cs="Arial"/>
        </w:rPr>
        <w:t xml:space="preserve"> 7</w:t>
      </w:r>
      <w:r w:rsidRPr="004B5EDC">
        <w:rPr>
          <w:rFonts w:ascii="Arial" w:hAnsi="Arial" w:cs="Arial"/>
          <w:i/>
        </w:rPr>
        <w:t>.</w:t>
      </w:r>
    </w:p>
  </w:footnote>
  <w:footnote w:id="8">
    <w:p w:rsidR="00860C43" w:rsidRPr="00EF212A" w:rsidRDefault="00860C43" w:rsidP="00860C43">
      <w:pPr>
        <w:pStyle w:val="FootnoteText"/>
      </w:pPr>
      <w:r w:rsidRPr="004B5EDC">
        <w:rPr>
          <w:rStyle w:val="FootnoteReference"/>
          <w:rFonts w:ascii="Arial" w:hAnsi="Arial" w:cs="Arial"/>
        </w:rPr>
        <w:footnoteRef/>
      </w:r>
      <w:r w:rsidRPr="004B5EDC">
        <w:rPr>
          <w:rFonts w:ascii="Arial" w:hAnsi="Arial" w:cs="Arial"/>
        </w:rPr>
        <w:t xml:space="preserve"> </w:t>
      </w:r>
      <w:r w:rsidR="00EF212A" w:rsidRPr="004B5EDC">
        <w:rPr>
          <w:rFonts w:ascii="Arial" w:hAnsi="Arial" w:cs="Arial"/>
          <w:i/>
        </w:rPr>
        <w:t>Achieving Balance – Ontario’s Long Term Energy Plan</w:t>
      </w:r>
      <w:r w:rsidR="00EF212A" w:rsidRPr="004B5EDC">
        <w:rPr>
          <w:rFonts w:ascii="Arial" w:hAnsi="Arial" w:cs="Arial"/>
        </w:rPr>
        <w:t xml:space="preserve"> (Toronto: Queen’s Printer for Ontario, 2013), 9.</w:t>
      </w:r>
    </w:p>
  </w:footnote>
  <w:footnote w:id="9">
    <w:p w:rsidR="00860C43" w:rsidRPr="004B5EDC" w:rsidRDefault="00860C43" w:rsidP="00860C43">
      <w:pPr>
        <w:pStyle w:val="FootnoteText"/>
        <w:rPr>
          <w:rFonts w:ascii="Arial" w:hAnsi="Arial" w:cs="Arial"/>
        </w:rPr>
      </w:pPr>
      <w:r w:rsidRPr="004B5EDC">
        <w:rPr>
          <w:rStyle w:val="FootnoteReference"/>
          <w:rFonts w:ascii="Arial" w:hAnsi="Arial" w:cs="Arial"/>
        </w:rPr>
        <w:footnoteRef/>
      </w:r>
      <w:r w:rsidRPr="004B5EDC">
        <w:rPr>
          <w:rFonts w:ascii="Arial" w:hAnsi="Arial" w:cs="Arial"/>
        </w:rPr>
        <w:t xml:space="preserve"> </w:t>
      </w:r>
      <w:r w:rsidR="00EF212A" w:rsidRPr="004B5EDC">
        <w:rPr>
          <w:rFonts w:ascii="Arial" w:hAnsi="Arial" w:cs="Arial"/>
          <w:i/>
        </w:rPr>
        <w:t xml:space="preserve">Ontario’s Long-Term Energy Plan: Building our Clean Energy </w:t>
      </w:r>
      <w:proofErr w:type="gramStart"/>
      <w:r w:rsidR="00EF212A" w:rsidRPr="004B5EDC">
        <w:rPr>
          <w:rFonts w:ascii="Arial" w:hAnsi="Arial" w:cs="Arial"/>
          <w:i/>
        </w:rPr>
        <w:t>Future</w:t>
      </w:r>
      <w:r w:rsidR="00EF212A" w:rsidRPr="004B5EDC">
        <w:rPr>
          <w:rFonts w:ascii="Arial" w:hAnsi="Arial" w:cs="Arial"/>
        </w:rPr>
        <w:t xml:space="preserve"> </w:t>
      </w:r>
      <w:r w:rsidR="00EF212A" w:rsidRPr="004B5EDC">
        <w:rPr>
          <w:rFonts w:ascii="Arial" w:hAnsi="Arial" w:cs="Arial"/>
          <w:i/>
        </w:rPr>
        <w:t>,</w:t>
      </w:r>
      <w:proofErr w:type="gramEnd"/>
      <w:r w:rsidR="00EF212A" w:rsidRPr="004B5EDC">
        <w:rPr>
          <w:rFonts w:ascii="Arial" w:hAnsi="Arial" w:cs="Arial"/>
          <w:i/>
        </w:rPr>
        <w:t xml:space="preserve"> </w:t>
      </w:r>
      <w:r w:rsidRPr="004B5EDC">
        <w:rPr>
          <w:rFonts w:ascii="Arial" w:hAnsi="Arial" w:cs="Arial"/>
        </w:rPr>
        <w:t>28-29.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0A" w:rsidRDefault="009A1B0A">
    <w:pPr>
      <w:pStyle w:val="Header"/>
    </w:pPr>
    <w:r>
      <w:rPr>
        <w:noProof/>
      </w:rPr>
      <w:drawing>
        <wp:inline distT="0" distB="0" distL="0" distR="0">
          <wp:extent cx="2133600" cy="990600"/>
          <wp:effectExtent l="0" t="0" r="0" b="0"/>
          <wp:docPr id="3" name="Picture 3" descr="NEW_Ont_logo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_Ont_logo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2133"/>
    <w:multiLevelType w:val="hybridMultilevel"/>
    <w:tmpl w:val="927ABE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7CC4D73"/>
    <w:multiLevelType w:val="hybridMultilevel"/>
    <w:tmpl w:val="67602444"/>
    <w:lvl w:ilvl="0" w:tplc="10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14576A"/>
    <w:multiLevelType w:val="hybridMultilevel"/>
    <w:tmpl w:val="374A94A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7C340EE"/>
    <w:multiLevelType w:val="hybridMultilevel"/>
    <w:tmpl w:val="CF9C1DEA"/>
    <w:lvl w:ilvl="0" w:tplc="1009000F">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9B746A1"/>
    <w:multiLevelType w:val="hybridMultilevel"/>
    <w:tmpl w:val="67602444"/>
    <w:lvl w:ilvl="0" w:tplc="10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B785D29"/>
    <w:multiLevelType w:val="hybridMultilevel"/>
    <w:tmpl w:val="8D86B6A4"/>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2F341223"/>
    <w:multiLevelType w:val="hybridMultilevel"/>
    <w:tmpl w:val="D402F7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FF556F6"/>
    <w:multiLevelType w:val="hybridMultilevel"/>
    <w:tmpl w:val="0FA0E74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5F051998"/>
    <w:multiLevelType w:val="hybridMultilevel"/>
    <w:tmpl w:val="3CACE640"/>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nsid w:val="62117750"/>
    <w:multiLevelType w:val="hybridMultilevel"/>
    <w:tmpl w:val="EC505E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692E5396"/>
    <w:multiLevelType w:val="hybridMultilevel"/>
    <w:tmpl w:val="24BCA7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6"/>
  </w:num>
  <w:num w:numId="5">
    <w:abstractNumId w:val="3"/>
  </w:num>
  <w:num w:numId="6">
    <w:abstractNumId w:val="9"/>
  </w:num>
  <w:num w:numId="7">
    <w:abstractNumId w:val="4"/>
  </w:num>
  <w:num w:numId="8">
    <w:abstractNumId w:val="0"/>
  </w:num>
  <w:num w:numId="9">
    <w:abstractNumId w:val="1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77"/>
    <w:rsid w:val="00014EA1"/>
    <w:rsid w:val="00023D0D"/>
    <w:rsid w:val="0003160F"/>
    <w:rsid w:val="0003566A"/>
    <w:rsid w:val="0003689C"/>
    <w:rsid w:val="00046607"/>
    <w:rsid w:val="00055DC0"/>
    <w:rsid w:val="000653E3"/>
    <w:rsid w:val="000659F6"/>
    <w:rsid w:val="00065D18"/>
    <w:rsid w:val="000705AC"/>
    <w:rsid w:val="00073F8C"/>
    <w:rsid w:val="00075DEF"/>
    <w:rsid w:val="00080568"/>
    <w:rsid w:val="00082F64"/>
    <w:rsid w:val="00090B44"/>
    <w:rsid w:val="00091B13"/>
    <w:rsid w:val="000C1451"/>
    <w:rsid w:val="000C3498"/>
    <w:rsid w:val="000C46B3"/>
    <w:rsid w:val="000D7463"/>
    <w:rsid w:val="000D7C67"/>
    <w:rsid w:val="000E1AA8"/>
    <w:rsid w:val="000E7233"/>
    <w:rsid w:val="000F0AEE"/>
    <w:rsid w:val="000F24A3"/>
    <w:rsid w:val="000F5F97"/>
    <w:rsid w:val="000F643B"/>
    <w:rsid w:val="00102B84"/>
    <w:rsid w:val="001120B3"/>
    <w:rsid w:val="00112117"/>
    <w:rsid w:val="00115CD4"/>
    <w:rsid w:val="001171BA"/>
    <w:rsid w:val="00120CBB"/>
    <w:rsid w:val="0012176C"/>
    <w:rsid w:val="00124A71"/>
    <w:rsid w:val="00126058"/>
    <w:rsid w:val="00131C3B"/>
    <w:rsid w:val="001371D3"/>
    <w:rsid w:val="00146B0D"/>
    <w:rsid w:val="00156008"/>
    <w:rsid w:val="00167DD0"/>
    <w:rsid w:val="00174224"/>
    <w:rsid w:val="00191B19"/>
    <w:rsid w:val="00192AB5"/>
    <w:rsid w:val="001A1012"/>
    <w:rsid w:val="001A2090"/>
    <w:rsid w:val="001A244F"/>
    <w:rsid w:val="001A7077"/>
    <w:rsid w:val="001B6509"/>
    <w:rsid w:val="001C4102"/>
    <w:rsid w:val="001C4B0D"/>
    <w:rsid w:val="001C4E13"/>
    <w:rsid w:val="001C596D"/>
    <w:rsid w:val="001C7179"/>
    <w:rsid w:val="001D65C0"/>
    <w:rsid w:val="001E1AA8"/>
    <w:rsid w:val="001E2689"/>
    <w:rsid w:val="001F00A6"/>
    <w:rsid w:val="002014B8"/>
    <w:rsid w:val="00201680"/>
    <w:rsid w:val="00204184"/>
    <w:rsid w:val="00206855"/>
    <w:rsid w:val="00210276"/>
    <w:rsid w:val="00214801"/>
    <w:rsid w:val="00221579"/>
    <w:rsid w:val="0023400C"/>
    <w:rsid w:val="00240BEF"/>
    <w:rsid w:val="002509AA"/>
    <w:rsid w:val="0025223C"/>
    <w:rsid w:val="00252EDA"/>
    <w:rsid w:val="00263A3D"/>
    <w:rsid w:val="002804BB"/>
    <w:rsid w:val="00281CC1"/>
    <w:rsid w:val="0028666D"/>
    <w:rsid w:val="002A575A"/>
    <w:rsid w:val="002A69F5"/>
    <w:rsid w:val="002B0576"/>
    <w:rsid w:val="002C42D4"/>
    <w:rsid w:val="002D125E"/>
    <w:rsid w:val="002D4E8F"/>
    <w:rsid w:val="002D7337"/>
    <w:rsid w:val="002E6D2D"/>
    <w:rsid w:val="002F08F7"/>
    <w:rsid w:val="002F2438"/>
    <w:rsid w:val="003164CC"/>
    <w:rsid w:val="0032079D"/>
    <w:rsid w:val="00320A7C"/>
    <w:rsid w:val="0032322A"/>
    <w:rsid w:val="00323590"/>
    <w:rsid w:val="00331C67"/>
    <w:rsid w:val="00334E4A"/>
    <w:rsid w:val="00335E55"/>
    <w:rsid w:val="00336750"/>
    <w:rsid w:val="00343F91"/>
    <w:rsid w:val="00361418"/>
    <w:rsid w:val="003614EE"/>
    <w:rsid w:val="0036587A"/>
    <w:rsid w:val="00375025"/>
    <w:rsid w:val="00377761"/>
    <w:rsid w:val="003971E1"/>
    <w:rsid w:val="003B645E"/>
    <w:rsid w:val="003C1466"/>
    <w:rsid w:val="003C525C"/>
    <w:rsid w:val="003C78C0"/>
    <w:rsid w:val="003D32F3"/>
    <w:rsid w:val="003D4371"/>
    <w:rsid w:val="003D488C"/>
    <w:rsid w:val="003D6990"/>
    <w:rsid w:val="003E74A8"/>
    <w:rsid w:val="003E7AFA"/>
    <w:rsid w:val="003F2AE7"/>
    <w:rsid w:val="003F56FC"/>
    <w:rsid w:val="0040183C"/>
    <w:rsid w:val="0040449F"/>
    <w:rsid w:val="0040492A"/>
    <w:rsid w:val="004052CE"/>
    <w:rsid w:val="00406CED"/>
    <w:rsid w:val="00411FB3"/>
    <w:rsid w:val="0041304C"/>
    <w:rsid w:val="00416878"/>
    <w:rsid w:val="00417302"/>
    <w:rsid w:val="0042029D"/>
    <w:rsid w:val="00420338"/>
    <w:rsid w:val="004218E0"/>
    <w:rsid w:val="00422488"/>
    <w:rsid w:val="00426884"/>
    <w:rsid w:val="004271C9"/>
    <w:rsid w:val="00430803"/>
    <w:rsid w:val="004341F2"/>
    <w:rsid w:val="0043431D"/>
    <w:rsid w:val="00445253"/>
    <w:rsid w:val="00445CAF"/>
    <w:rsid w:val="00456BF8"/>
    <w:rsid w:val="004609C3"/>
    <w:rsid w:val="00460D63"/>
    <w:rsid w:val="0046327C"/>
    <w:rsid w:val="004656F5"/>
    <w:rsid w:val="00465E65"/>
    <w:rsid w:val="004762FC"/>
    <w:rsid w:val="0047646E"/>
    <w:rsid w:val="004769A8"/>
    <w:rsid w:val="0047736C"/>
    <w:rsid w:val="00483AA9"/>
    <w:rsid w:val="00484787"/>
    <w:rsid w:val="004A1DC5"/>
    <w:rsid w:val="004B2ADA"/>
    <w:rsid w:val="004B52F2"/>
    <w:rsid w:val="004B5EDC"/>
    <w:rsid w:val="004C4171"/>
    <w:rsid w:val="004C4CDA"/>
    <w:rsid w:val="004C5246"/>
    <w:rsid w:val="004C5C4B"/>
    <w:rsid w:val="004C742A"/>
    <w:rsid w:val="004D0813"/>
    <w:rsid w:val="004D55CA"/>
    <w:rsid w:val="004D765A"/>
    <w:rsid w:val="004E2567"/>
    <w:rsid w:val="004F104D"/>
    <w:rsid w:val="004F254D"/>
    <w:rsid w:val="004F4459"/>
    <w:rsid w:val="004F45E3"/>
    <w:rsid w:val="004F53E8"/>
    <w:rsid w:val="005012A5"/>
    <w:rsid w:val="00503528"/>
    <w:rsid w:val="005036A2"/>
    <w:rsid w:val="00503C64"/>
    <w:rsid w:val="00511748"/>
    <w:rsid w:val="00520D79"/>
    <w:rsid w:val="0052315E"/>
    <w:rsid w:val="0052477A"/>
    <w:rsid w:val="00530187"/>
    <w:rsid w:val="00533E96"/>
    <w:rsid w:val="00544AFD"/>
    <w:rsid w:val="00550B6E"/>
    <w:rsid w:val="0055700F"/>
    <w:rsid w:val="00557783"/>
    <w:rsid w:val="00557F70"/>
    <w:rsid w:val="005614C3"/>
    <w:rsid w:val="00561C35"/>
    <w:rsid w:val="00565D57"/>
    <w:rsid w:val="005672E6"/>
    <w:rsid w:val="00567B83"/>
    <w:rsid w:val="005711C4"/>
    <w:rsid w:val="005717B3"/>
    <w:rsid w:val="00572255"/>
    <w:rsid w:val="005810F3"/>
    <w:rsid w:val="0058584D"/>
    <w:rsid w:val="00587028"/>
    <w:rsid w:val="00587386"/>
    <w:rsid w:val="00592E40"/>
    <w:rsid w:val="00596F55"/>
    <w:rsid w:val="005A1ABB"/>
    <w:rsid w:val="005A2812"/>
    <w:rsid w:val="005A30C5"/>
    <w:rsid w:val="005A551A"/>
    <w:rsid w:val="005A6352"/>
    <w:rsid w:val="005B143A"/>
    <w:rsid w:val="005B377D"/>
    <w:rsid w:val="005B7B69"/>
    <w:rsid w:val="005C3F5C"/>
    <w:rsid w:val="005C4F9B"/>
    <w:rsid w:val="005D6927"/>
    <w:rsid w:val="005E35F6"/>
    <w:rsid w:val="005F1335"/>
    <w:rsid w:val="005F678C"/>
    <w:rsid w:val="00613F37"/>
    <w:rsid w:val="00614034"/>
    <w:rsid w:val="00615824"/>
    <w:rsid w:val="00617871"/>
    <w:rsid w:val="00630D87"/>
    <w:rsid w:val="00634E36"/>
    <w:rsid w:val="00637AD8"/>
    <w:rsid w:val="00646F49"/>
    <w:rsid w:val="00647DAF"/>
    <w:rsid w:val="00657B41"/>
    <w:rsid w:val="00663323"/>
    <w:rsid w:val="00666195"/>
    <w:rsid w:val="006670E1"/>
    <w:rsid w:val="006749A4"/>
    <w:rsid w:val="00675E32"/>
    <w:rsid w:val="00676991"/>
    <w:rsid w:val="00681277"/>
    <w:rsid w:val="006816C0"/>
    <w:rsid w:val="006824DC"/>
    <w:rsid w:val="006843BF"/>
    <w:rsid w:val="0069195E"/>
    <w:rsid w:val="006920FF"/>
    <w:rsid w:val="00695240"/>
    <w:rsid w:val="006976EE"/>
    <w:rsid w:val="006A0742"/>
    <w:rsid w:val="006B6791"/>
    <w:rsid w:val="006C152B"/>
    <w:rsid w:val="006C651B"/>
    <w:rsid w:val="006C75B2"/>
    <w:rsid w:val="006D0738"/>
    <w:rsid w:val="006D2CD5"/>
    <w:rsid w:val="006E1380"/>
    <w:rsid w:val="006E207C"/>
    <w:rsid w:val="006F2696"/>
    <w:rsid w:val="006F5859"/>
    <w:rsid w:val="00700DB2"/>
    <w:rsid w:val="0070558D"/>
    <w:rsid w:val="00705EAC"/>
    <w:rsid w:val="007119AB"/>
    <w:rsid w:val="007214C9"/>
    <w:rsid w:val="00734113"/>
    <w:rsid w:val="00734D91"/>
    <w:rsid w:val="00736F61"/>
    <w:rsid w:val="007423E6"/>
    <w:rsid w:val="00742E53"/>
    <w:rsid w:val="00742E54"/>
    <w:rsid w:val="007569AE"/>
    <w:rsid w:val="00757D7F"/>
    <w:rsid w:val="00764640"/>
    <w:rsid w:val="00765887"/>
    <w:rsid w:val="00770C24"/>
    <w:rsid w:val="00773B25"/>
    <w:rsid w:val="00773FE0"/>
    <w:rsid w:val="00777E07"/>
    <w:rsid w:val="007A470B"/>
    <w:rsid w:val="007A5991"/>
    <w:rsid w:val="007B07B8"/>
    <w:rsid w:val="007B5E93"/>
    <w:rsid w:val="007C0AF1"/>
    <w:rsid w:val="007C5649"/>
    <w:rsid w:val="007C569D"/>
    <w:rsid w:val="007C7177"/>
    <w:rsid w:val="007D0C17"/>
    <w:rsid w:val="007D6D6F"/>
    <w:rsid w:val="007D74B8"/>
    <w:rsid w:val="007F134E"/>
    <w:rsid w:val="007F2163"/>
    <w:rsid w:val="007F608A"/>
    <w:rsid w:val="00806AE3"/>
    <w:rsid w:val="00810FFC"/>
    <w:rsid w:val="008178AA"/>
    <w:rsid w:val="0083110F"/>
    <w:rsid w:val="008343B2"/>
    <w:rsid w:val="0083491B"/>
    <w:rsid w:val="008417FF"/>
    <w:rsid w:val="0084448F"/>
    <w:rsid w:val="008453C7"/>
    <w:rsid w:val="00845A03"/>
    <w:rsid w:val="00846D45"/>
    <w:rsid w:val="008536F5"/>
    <w:rsid w:val="0085574C"/>
    <w:rsid w:val="00860C43"/>
    <w:rsid w:val="0086126C"/>
    <w:rsid w:val="00870314"/>
    <w:rsid w:val="00870C96"/>
    <w:rsid w:val="00871FE4"/>
    <w:rsid w:val="00883E88"/>
    <w:rsid w:val="00890A6D"/>
    <w:rsid w:val="00891B8E"/>
    <w:rsid w:val="008956C7"/>
    <w:rsid w:val="008A39AB"/>
    <w:rsid w:val="008A45B2"/>
    <w:rsid w:val="008B27AD"/>
    <w:rsid w:val="008B2F4B"/>
    <w:rsid w:val="008B4735"/>
    <w:rsid w:val="008D2F75"/>
    <w:rsid w:val="008D3DD9"/>
    <w:rsid w:val="008E5D83"/>
    <w:rsid w:val="008E6F46"/>
    <w:rsid w:val="008E73DB"/>
    <w:rsid w:val="008E7E5A"/>
    <w:rsid w:val="008F3074"/>
    <w:rsid w:val="008F3713"/>
    <w:rsid w:val="008F566B"/>
    <w:rsid w:val="009001B9"/>
    <w:rsid w:val="00900786"/>
    <w:rsid w:val="0090424E"/>
    <w:rsid w:val="00906917"/>
    <w:rsid w:val="00912973"/>
    <w:rsid w:val="00914256"/>
    <w:rsid w:val="00931476"/>
    <w:rsid w:val="00932CA5"/>
    <w:rsid w:val="00936523"/>
    <w:rsid w:val="00936741"/>
    <w:rsid w:val="009379CB"/>
    <w:rsid w:val="00951689"/>
    <w:rsid w:val="009604F2"/>
    <w:rsid w:val="00966DC6"/>
    <w:rsid w:val="00967339"/>
    <w:rsid w:val="00973D6B"/>
    <w:rsid w:val="0098061F"/>
    <w:rsid w:val="00981E95"/>
    <w:rsid w:val="0098208E"/>
    <w:rsid w:val="009857E7"/>
    <w:rsid w:val="00990030"/>
    <w:rsid w:val="00990449"/>
    <w:rsid w:val="009974FD"/>
    <w:rsid w:val="009976D4"/>
    <w:rsid w:val="00997A4D"/>
    <w:rsid w:val="009A1B0A"/>
    <w:rsid w:val="009B5720"/>
    <w:rsid w:val="009C1D22"/>
    <w:rsid w:val="009C2A80"/>
    <w:rsid w:val="009D34C4"/>
    <w:rsid w:val="009D5C40"/>
    <w:rsid w:val="009F25A1"/>
    <w:rsid w:val="00A00602"/>
    <w:rsid w:val="00A01C1D"/>
    <w:rsid w:val="00A03222"/>
    <w:rsid w:val="00A06001"/>
    <w:rsid w:val="00A06641"/>
    <w:rsid w:val="00A1288B"/>
    <w:rsid w:val="00A27D5E"/>
    <w:rsid w:val="00A32B93"/>
    <w:rsid w:val="00A415B7"/>
    <w:rsid w:val="00A42B93"/>
    <w:rsid w:val="00A42F23"/>
    <w:rsid w:val="00A44A44"/>
    <w:rsid w:val="00A454C7"/>
    <w:rsid w:val="00A76964"/>
    <w:rsid w:val="00A9457C"/>
    <w:rsid w:val="00AA073E"/>
    <w:rsid w:val="00AA1DE2"/>
    <w:rsid w:val="00AA3B8F"/>
    <w:rsid w:val="00AA5AE7"/>
    <w:rsid w:val="00AA5B6B"/>
    <w:rsid w:val="00AB7AD1"/>
    <w:rsid w:val="00AD1A0B"/>
    <w:rsid w:val="00AF6315"/>
    <w:rsid w:val="00AF65B3"/>
    <w:rsid w:val="00B00A74"/>
    <w:rsid w:val="00B01B75"/>
    <w:rsid w:val="00B053B5"/>
    <w:rsid w:val="00B15AE4"/>
    <w:rsid w:val="00B15AEF"/>
    <w:rsid w:val="00B16715"/>
    <w:rsid w:val="00B20DC7"/>
    <w:rsid w:val="00B43B0B"/>
    <w:rsid w:val="00B4643E"/>
    <w:rsid w:val="00B4660B"/>
    <w:rsid w:val="00B53939"/>
    <w:rsid w:val="00B61643"/>
    <w:rsid w:val="00B66B46"/>
    <w:rsid w:val="00B72AA2"/>
    <w:rsid w:val="00B734FF"/>
    <w:rsid w:val="00B74042"/>
    <w:rsid w:val="00B771F7"/>
    <w:rsid w:val="00B942F0"/>
    <w:rsid w:val="00BA04C6"/>
    <w:rsid w:val="00BA06AB"/>
    <w:rsid w:val="00BA3C67"/>
    <w:rsid w:val="00BA4C22"/>
    <w:rsid w:val="00BB1B56"/>
    <w:rsid w:val="00BB302B"/>
    <w:rsid w:val="00BB4858"/>
    <w:rsid w:val="00BB76EB"/>
    <w:rsid w:val="00BC44CC"/>
    <w:rsid w:val="00BC4557"/>
    <w:rsid w:val="00BC735C"/>
    <w:rsid w:val="00BE3CC0"/>
    <w:rsid w:val="00BE3F34"/>
    <w:rsid w:val="00BE4FFF"/>
    <w:rsid w:val="00BE5B0A"/>
    <w:rsid w:val="00BF1B30"/>
    <w:rsid w:val="00C01299"/>
    <w:rsid w:val="00C023D1"/>
    <w:rsid w:val="00C11BDD"/>
    <w:rsid w:val="00C272BA"/>
    <w:rsid w:val="00C31081"/>
    <w:rsid w:val="00C31276"/>
    <w:rsid w:val="00C35BE6"/>
    <w:rsid w:val="00C40616"/>
    <w:rsid w:val="00C504A6"/>
    <w:rsid w:val="00C511AE"/>
    <w:rsid w:val="00C566EE"/>
    <w:rsid w:val="00C617CE"/>
    <w:rsid w:val="00C6483C"/>
    <w:rsid w:val="00C70F0A"/>
    <w:rsid w:val="00C7181A"/>
    <w:rsid w:val="00C80934"/>
    <w:rsid w:val="00C82B53"/>
    <w:rsid w:val="00C843B0"/>
    <w:rsid w:val="00CA2666"/>
    <w:rsid w:val="00CA446E"/>
    <w:rsid w:val="00CB38F1"/>
    <w:rsid w:val="00CC08F0"/>
    <w:rsid w:val="00CC1A7B"/>
    <w:rsid w:val="00CC3BC7"/>
    <w:rsid w:val="00CD0044"/>
    <w:rsid w:val="00CD43C9"/>
    <w:rsid w:val="00CD54E4"/>
    <w:rsid w:val="00CE0D92"/>
    <w:rsid w:val="00CE29A3"/>
    <w:rsid w:val="00CE4D2D"/>
    <w:rsid w:val="00CF6225"/>
    <w:rsid w:val="00D03E5F"/>
    <w:rsid w:val="00D03F4D"/>
    <w:rsid w:val="00D12AB3"/>
    <w:rsid w:val="00D134FB"/>
    <w:rsid w:val="00D171FA"/>
    <w:rsid w:val="00D20D39"/>
    <w:rsid w:val="00D40C77"/>
    <w:rsid w:val="00D44949"/>
    <w:rsid w:val="00D5142F"/>
    <w:rsid w:val="00D53529"/>
    <w:rsid w:val="00D54868"/>
    <w:rsid w:val="00D55258"/>
    <w:rsid w:val="00D55529"/>
    <w:rsid w:val="00D55DCF"/>
    <w:rsid w:val="00D6158D"/>
    <w:rsid w:val="00D64983"/>
    <w:rsid w:val="00D77D4C"/>
    <w:rsid w:val="00D80DF3"/>
    <w:rsid w:val="00D822E1"/>
    <w:rsid w:val="00D84BD5"/>
    <w:rsid w:val="00D84BFD"/>
    <w:rsid w:val="00D87332"/>
    <w:rsid w:val="00D908CC"/>
    <w:rsid w:val="00D9555C"/>
    <w:rsid w:val="00D96EB0"/>
    <w:rsid w:val="00DA1BF6"/>
    <w:rsid w:val="00DA3A68"/>
    <w:rsid w:val="00DC01F5"/>
    <w:rsid w:val="00DC1FF0"/>
    <w:rsid w:val="00DC2DD6"/>
    <w:rsid w:val="00DC3494"/>
    <w:rsid w:val="00DC4476"/>
    <w:rsid w:val="00DD5EFA"/>
    <w:rsid w:val="00DD697F"/>
    <w:rsid w:val="00DE4862"/>
    <w:rsid w:val="00DE587D"/>
    <w:rsid w:val="00DE7171"/>
    <w:rsid w:val="00DF00E6"/>
    <w:rsid w:val="00DF6DF8"/>
    <w:rsid w:val="00E0035D"/>
    <w:rsid w:val="00E00FAF"/>
    <w:rsid w:val="00E04FFF"/>
    <w:rsid w:val="00E0786A"/>
    <w:rsid w:val="00E112E0"/>
    <w:rsid w:val="00E11478"/>
    <w:rsid w:val="00E20992"/>
    <w:rsid w:val="00E46D30"/>
    <w:rsid w:val="00E47414"/>
    <w:rsid w:val="00E52EBF"/>
    <w:rsid w:val="00E55291"/>
    <w:rsid w:val="00E71649"/>
    <w:rsid w:val="00E717E0"/>
    <w:rsid w:val="00E72F3F"/>
    <w:rsid w:val="00E77064"/>
    <w:rsid w:val="00E922F7"/>
    <w:rsid w:val="00E94B6F"/>
    <w:rsid w:val="00E94D71"/>
    <w:rsid w:val="00E95576"/>
    <w:rsid w:val="00EA60EE"/>
    <w:rsid w:val="00EB275C"/>
    <w:rsid w:val="00EB3CCB"/>
    <w:rsid w:val="00EB3DDA"/>
    <w:rsid w:val="00EB587D"/>
    <w:rsid w:val="00EC2DE4"/>
    <w:rsid w:val="00EC3A6D"/>
    <w:rsid w:val="00EE1756"/>
    <w:rsid w:val="00EE4365"/>
    <w:rsid w:val="00EF0C4F"/>
    <w:rsid w:val="00EF212A"/>
    <w:rsid w:val="00EF354D"/>
    <w:rsid w:val="00F03292"/>
    <w:rsid w:val="00F05EF2"/>
    <w:rsid w:val="00F100F6"/>
    <w:rsid w:val="00F12CA0"/>
    <w:rsid w:val="00F229FA"/>
    <w:rsid w:val="00F23231"/>
    <w:rsid w:val="00F25615"/>
    <w:rsid w:val="00F31753"/>
    <w:rsid w:val="00F36B7F"/>
    <w:rsid w:val="00F37CD5"/>
    <w:rsid w:val="00F41A87"/>
    <w:rsid w:val="00F4566C"/>
    <w:rsid w:val="00F54ACA"/>
    <w:rsid w:val="00F60DAD"/>
    <w:rsid w:val="00F6333D"/>
    <w:rsid w:val="00F725AD"/>
    <w:rsid w:val="00F80470"/>
    <w:rsid w:val="00F823F2"/>
    <w:rsid w:val="00F834B3"/>
    <w:rsid w:val="00F837D5"/>
    <w:rsid w:val="00F95509"/>
    <w:rsid w:val="00FA5E41"/>
    <w:rsid w:val="00FB3718"/>
    <w:rsid w:val="00FB4F67"/>
    <w:rsid w:val="00FB7D0C"/>
    <w:rsid w:val="00FC0765"/>
    <w:rsid w:val="00FD0859"/>
    <w:rsid w:val="00FD61D1"/>
    <w:rsid w:val="00FE05DF"/>
    <w:rsid w:val="00FE2E1B"/>
    <w:rsid w:val="00FE5E5D"/>
    <w:rsid w:val="00FF61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CA" w:eastAsia="en-CA"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caption" w:semiHidden="1" w:unhideWhenUsed="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AA8"/>
    <w:rPr>
      <w:sz w:val="24"/>
      <w:szCs w:val="24"/>
    </w:rPr>
  </w:style>
  <w:style w:type="paragraph" w:styleId="Heading1">
    <w:name w:val="heading 1"/>
    <w:basedOn w:val="Normal"/>
    <w:next w:val="Normal"/>
    <w:link w:val="Heading1Char"/>
    <w:uiPriority w:val="9"/>
    <w:qFormat/>
    <w:rsid w:val="001E1AA8"/>
    <w:pPr>
      <w:keepNext/>
      <w:spacing w:before="240" w:after="60"/>
      <w:outlineLvl w:val="0"/>
    </w:pPr>
    <w:rPr>
      <w:rFonts w:ascii="Arial" w:eastAsiaTheme="majorEastAsia" w:hAnsi="Arial" w:cs="Arial"/>
      <w:bCs/>
      <w:kern w:val="32"/>
      <w:sz w:val="40"/>
      <w:szCs w:val="40"/>
    </w:rPr>
  </w:style>
  <w:style w:type="paragraph" w:styleId="Heading2">
    <w:name w:val="heading 2"/>
    <w:basedOn w:val="Normal"/>
    <w:next w:val="Normal"/>
    <w:link w:val="Heading2Char"/>
    <w:uiPriority w:val="9"/>
    <w:unhideWhenUsed/>
    <w:qFormat/>
    <w:rsid w:val="001E1AA8"/>
    <w:pPr>
      <w:keepNext/>
      <w:spacing w:before="240" w:after="60"/>
      <w:outlineLvl w:val="1"/>
    </w:pPr>
    <w:rPr>
      <w:rFonts w:ascii="Arial" w:eastAsiaTheme="majorEastAsia" w:hAnsi="Arial" w:cs="Arial"/>
      <w:b/>
      <w:bCs/>
      <w:iCs/>
    </w:rPr>
  </w:style>
  <w:style w:type="paragraph" w:styleId="Heading3">
    <w:name w:val="heading 3"/>
    <w:basedOn w:val="Normal"/>
    <w:next w:val="Normal"/>
    <w:link w:val="Heading3Char"/>
    <w:uiPriority w:val="9"/>
    <w:semiHidden/>
    <w:unhideWhenUsed/>
    <w:qFormat/>
    <w:rsid w:val="001E1AA8"/>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E1AA8"/>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1E1AA8"/>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1E1AA8"/>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1E1AA8"/>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1E1AA8"/>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1E1AA8"/>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0C77"/>
    <w:pPr>
      <w:tabs>
        <w:tab w:val="center" w:pos="4320"/>
        <w:tab w:val="right" w:pos="8640"/>
      </w:tabs>
    </w:pPr>
  </w:style>
  <w:style w:type="paragraph" w:styleId="Footer">
    <w:name w:val="footer"/>
    <w:basedOn w:val="Normal"/>
    <w:rsid w:val="00D40C77"/>
    <w:pPr>
      <w:tabs>
        <w:tab w:val="center" w:pos="4320"/>
        <w:tab w:val="right" w:pos="8640"/>
      </w:tabs>
    </w:pPr>
  </w:style>
  <w:style w:type="paragraph" w:styleId="BodyText2">
    <w:name w:val="Body Text 2"/>
    <w:basedOn w:val="Normal"/>
    <w:rsid w:val="009857E7"/>
    <w:pPr>
      <w:tabs>
        <w:tab w:val="left" w:pos="3600"/>
        <w:tab w:val="left" w:pos="7200"/>
      </w:tabs>
      <w:suppressAutoHyphens/>
    </w:pPr>
    <w:rPr>
      <w:rFonts w:ascii="Arial" w:hAnsi="Arial" w:cs="Arial"/>
      <w:b/>
      <w:bCs/>
      <w:i/>
      <w:iCs/>
      <w:szCs w:val="20"/>
      <w:lang w:val="en-GB" w:eastAsia="en-US"/>
    </w:rPr>
  </w:style>
  <w:style w:type="paragraph" w:styleId="FootnoteText">
    <w:name w:val="footnote text"/>
    <w:basedOn w:val="Normal"/>
    <w:semiHidden/>
    <w:rsid w:val="00AA1DE2"/>
    <w:rPr>
      <w:sz w:val="20"/>
      <w:szCs w:val="20"/>
    </w:rPr>
  </w:style>
  <w:style w:type="character" w:styleId="FootnoteReference">
    <w:name w:val="footnote reference"/>
    <w:semiHidden/>
    <w:rsid w:val="00AA1DE2"/>
    <w:rPr>
      <w:vertAlign w:val="superscript"/>
    </w:rPr>
  </w:style>
  <w:style w:type="paragraph" w:styleId="BalloonText">
    <w:name w:val="Balloon Text"/>
    <w:basedOn w:val="Normal"/>
    <w:link w:val="BalloonTextChar"/>
    <w:rsid w:val="005B143A"/>
    <w:rPr>
      <w:rFonts w:ascii="Tahoma" w:hAnsi="Tahoma" w:cs="Tahoma"/>
      <w:sz w:val="16"/>
      <w:szCs w:val="16"/>
    </w:rPr>
  </w:style>
  <w:style w:type="character" w:customStyle="1" w:styleId="BalloonTextChar">
    <w:name w:val="Balloon Text Char"/>
    <w:link w:val="BalloonText"/>
    <w:rsid w:val="005B143A"/>
    <w:rPr>
      <w:rFonts w:ascii="Tahoma" w:hAnsi="Tahoma" w:cs="Tahoma"/>
      <w:sz w:val="16"/>
      <w:szCs w:val="16"/>
    </w:rPr>
  </w:style>
  <w:style w:type="character" w:styleId="Hyperlink">
    <w:name w:val="Hyperlink"/>
    <w:uiPriority w:val="99"/>
    <w:rsid w:val="002014B8"/>
    <w:rPr>
      <w:color w:val="0000FF"/>
      <w:u w:val="single"/>
    </w:rPr>
  </w:style>
  <w:style w:type="character" w:styleId="CommentReference">
    <w:name w:val="annotation reference"/>
    <w:rsid w:val="008956C7"/>
    <w:rPr>
      <w:sz w:val="16"/>
      <w:szCs w:val="16"/>
    </w:rPr>
  </w:style>
  <w:style w:type="paragraph" w:styleId="CommentText">
    <w:name w:val="annotation text"/>
    <w:basedOn w:val="Normal"/>
    <w:link w:val="CommentTextChar"/>
    <w:rsid w:val="008956C7"/>
    <w:rPr>
      <w:sz w:val="20"/>
      <w:szCs w:val="20"/>
    </w:rPr>
  </w:style>
  <w:style w:type="character" w:customStyle="1" w:styleId="CommentTextChar">
    <w:name w:val="Comment Text Char"/>
    <w:basedOn w:val="DefaultParagraphFont"/>
    <w:link w:val="CommentText"/>
    <w:rsid w:val="008956C7"/>
  </w:style>
  <w:style w:type="paragraph" w:styleId="CommentSubject">
    <w:name w:val="annotation subject"/>
    <w:basedOn w:val="CommentText"/>
    <w:next w:val="CommentText"/>
    <w:link w:val="CommentSubjectChar"/>
    <w:rsid w:val="008956C7"/>
    <w:rPr>
      <w:b/>
      <w:bCs/>
    </w:rPr>
  </w:style>
  <w:style w:type="character" w:customStyle="1" w:styleId="CommentSubjectChar">
    <w:name w:val="Comment Subject Char"/>
    <w:link w:val="CommentSubject"/>
    <w:rsid w:val="008956C7"/>
    <w:rPr>
      <w:b/>
      <w:bCs/>
    </w:rPr>
  </w:style>
  <w:style w:type="paragraph" w:styleId="ListParagraph">
    <w:name w:val="List Paragraph"/>
    <w:basedOn w:val="Normal"/>
    <w:uiPriority w:val="34"/>
    <w:qFormat/>
    <w:rsid w:val="001E1AA8"/>
    <w:pPr>
      <w:ind w:left="720"/>
      <w:contextualSpacing/>
    </w:pPr>
  </w:style>
  <w:style w:type="paragraph" w:styleId="Title">
    <w:name w:val="Title"/>
    <w:basedOn w:val="Normal"/>
    <w:next w:val="Normal"/>
    <w:link w:val="TitleChar"/>
    <w:uiPriority w:val="10"/>
    <w:qFormat/>
    <w:rsid w:val="001E1AA8"/>
    <w:pPr>
      <w:spacing w:before="240" w:after="60"/>
      <w:outlineLvl w:val="0"/>
    </w:pPr>
    <w:rPr>
      <w:rFonts w:ascii="Arial" w:eastAsiaTheme="majorEastAsia" w:hAnsi="Arial" w:cs="Arial"/>
      <w:bCs/>
      <w:kern w:val="28"/>
      <w:sz w:val="28"/>
      <w:szCs w:val="28"/>
    </w:rPr>
  </w:style>
  <w:style w:type="character" w:customStyle="1" w:styleId="TitleChar">
    <w:name w:val="Title Char"/>
    <w:basedOn w:val="DefaultParagraphFont"/>
    <w:link w:val="Title"/>
    <w:uiPriority w:val="10"/>
    <w:rsid w:val="001E1AA8"/>
    <w:rPr>
      <w:rFonts w:ascii="Arial" w:eastAsiaTheme="majorEastAsia" w:hAnsi="Arial" w:cs="Arial"/>
      <w:bCs/>
      <w:kern w:val="28"/>
      <w:sz w:val="28"/>
      <w:szCs w:val="28"/>
    </w:rPr>
  </w:style>
  <w:style w:type="character" w:customStyle="1" w:styleId="Heading1Char">
    <w:name w:val="Heading 1 Char"/>
    <w:basedOn w:val="DefaultParagraphFont"/>
    <w:link w:val="Heading1"/>
    <w:uiPriority w:val="9"/>
    <w:rsid w:val="001E1AA8"/>
    <w:rPr>
      <w:rFonts w:ascii="Arial" w:eastAsiaTheme="majorEastAsia" w:hAnsi="Arial" w:cs="Arial"/>
      <w:bCs/>
      <w:kern w:val="32"/>
      <w:sz w:val="40"/>
      <w:szCs w:val="40"/>
    </w:rPr>
  </w:style>
  <w:style w:type="character" w:customStyle="1" w:styleId="Heading2Char">
    <w:name w:val="Heading 2 Char"/>
    <w:basedOn w:val="DefaultParagraphFont"/>
    <w:link w:val="Heading2"/>
    <w:uiPriority w:val="9"/>
    <w:rsid w:val="001E1AA8"/>
    <w:rPr>
      <w:rFonts w:ascii="Arial" w:eastAsiaTheme="majorEastAsia" w:hAnsi="Arial" w:cs="Arial"/>
      <w:b/>
      <w:bCs/>
      <w:iCs/>
      <w:sz w:val="24"/>
      <w:szCs w:val="24"/>
    </w:rPr>
  </w:style>
  <w:style w:type="character" w:customStyle="1" w:styleId="Heading3Char">
    <w:name w:val="Heading 3 Char"/>
    <w:basedOn w:val="DefaultParagraphFont"/>
    <w:link w:val="Heading3"/>
    <w:uiPriority w:val="9"/>
    <w:semiHidden/>
    <w:rsid w:val="001E1AA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E1AA8"/>
    <w:rPr>
      <w:rFonts w:cstheme="majorBidi"/>
      <w:b/>
      <w:bCs/>
      <w:sz w:val="28"/>
      <w:szCs w:val="28"/>
    </w:rPr>
  </w:style>
  <w:style w:type="character" w:customStyle="1" w:styleId="Heading5Char">
    <w:name w:val="Heading 5 Char"/>
    <w:basedOn w:val="DefaultParagraphFont"/>
    <w:link w:val="Heading5"/>
    <w:uiPriority w:val="9"/>
    <w:semiHidden/>
    <w:rsid w:val="001E1AA8"/>
    <w:rPr>
      <w:rFonts w:cstheme="majorBidi"/>
      <w:b/>
      <w:bCs/>
      <w:i/>
      <w:iCs/>
      <w:sz w:val="26"/>
      <w:szCs w:val="26"/>
    </w:rPr>
  </w:style>
  <w:style w:type="character" w:customStyle="1" w:styleId="Heading6Char">
    <w:name w:val="Heading 6 Char"/>
    <w:basedOn w:val="DefaultParagraphFont"/>
    <w:link w:val="Heading6"/>
    <w:uiPriority w:val="9"/>
    <w:semiHidden/>
    <w:rsid w:val="001E1AA8"/>
    <w:rPr>
      <w:rFonts w:cstheme="majorBidi"/>
      <w:b/>
      <w:bCs/>
    </w:rPr>
  </w:style>
  <w:style w:type="character" w:customStyle="1" w:styleId="Heading7Char">
    <w:name w:val="Heading 7 Char"/>
    <w:basedOn w:val="DefaultParagraphFont"/>
    <w:link w:val="Heading7"/>
    <w:uiPriority w:val="9"/>
    <w:semiHidden/>
    <w:rsid w:val="001E1AA8"/>
    <w:rPr>
      <w:rFonts w:cstheme="majorBidi"/>
      <w:sz w:val="24"/>
      <w:szCs w:val="24"/>
    </w:rPr>
  </w:style>
  <w:style w:type="character" w:customStyle="1" w:styleId="Heading8Char">
    <w:name w:val="Heading 8 Char"/>
    <w:basedOn w:val="DefaultParagraphFont"/>
    <w:link w:val="Heading8"/>
    <w:uiPriority w:val="9"/>
    <w:semiHidden/>
    <w:rsid w:val="001E1AA8"/>
    <w:rPr>
      <w:rFonts w:cstheme="majorBidi"/>
      <w:i/>
      <w:iCs/>
      <w:sz w:val="24"/>
      <w:szCs w:val="24"/>
    </w:rPr>
  </w:style>
  <w:style w:type="character" w:customStyle="1" w:styleId="Heading9Char">
    <w:name w:val="Heading 9 Char"/>
    <w:basedOn w:val="DefaultParagraphFont"/>
    <w:link w:val="Heading9"/>
    <w:uiPriority w:val="9"/>
    <w:semiHidden/>
    <w:rsid w:val="001E1AA8"/>
    <w:rPr>
      <w:rFonts w:asciiTheme="majorHAnsi" w:eastAsiaTheme="majorEastAsia" w:hAnsiTheme="majorHAnsi" w:cstheme="majorBidi"/>
    </w:rPr>
  </w:style>
  <w:style w:type="paragraph" w:styleId="Subtitle">
    <w:name w:val="Subtitle"/>
    <w:basedOn w:val="Normal"/>
    <w:next w:val="Normal"/>
    <w:link w:val="SubtitleChar"/>
    <w:uiPriority w:val="11"/>
    <w:qFormat/>
    <w:rsid w:val="001E1AA8"/>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1E1AA8"/>
    <w:rPr>
      <w:rFonts w:asciiTheme="majorHAnsi" w:eastAsiaTheme="majorEastAsia" w:hAnsiTheme="majorHAnsi" w:cstheme="majorBidi"/>
      <w:sz w:val="24"/>
      <w:szCs w:val="24"/>
    </w:rPr>
  </w:style>
  <w:style w:type="character" w:styleId="Strong">
    <w:name w:val="Strong"/>
    <w:basedOn w:val="DefaultParagraphFont"/>
    <w:uiPriority w:val="22"/>
    <w:qFormat/>
    <w:rsid w:val="001E1AA8"/>
    <w:rPr>
      <w:b/>
      <w:bCs/>
    </w:rPr>
  </w:style>
  <w:style w:type="character" w:styleId="Emphasis">
    <w:name w:val="Emphasis"/>
    <w:basedOn w:val="DefaultParagraphFont"/>
    <w:uiPriority w:val="20"/>
    <w:qFormat/>
    <w:rsid w:val="001E1AA8"/>
    <w:rPr>
      <w:rFonts w:asciiTheme="minorHAnsi" w:hAnsiTheme="minorHAnsi"/>
      <w:b/>
      <w:i/>
      <w:iCs/>
    </w:rPr>
  </w:style>
  <w:style w:type="paragraph" w:styleId="NoSpacing">
    <w:name w:val="No Spacing"/>
    <w:basedOn w:val="Normal"/>
    <w:uiPriority w:val="1"/>
    <w:qFormat/>
    <w:rsid w:val="001E1AA8"/>
    <w:rPr>
      <w:szCs w:val="32"/>
    </w:rPr>
  </w:style>
  <w:style w:type="paragraph" w:styleId="Quote">
    <w:name w:val="Quote"/>
    <w:basedOn w:val="Normal"/>
    <w:next w:val="Normal"/>
    <w:link w:val="QuoteChar"/>
    <w:uiPriority w:val="29"/>
    <w:qFormat/>
    <w:rsid w:val="001E1AA8"/>
    <w:rPr>
      <w:i/>
    </w:rPr>
  </w:style>
  <w:style w:type="character" w:customStyle="1" w:styleId="QuoteChar">
    <w:name w:val="Quote Char"/>
    <w:basedOn w:val="DefaultParagraphFont"/>
    <w:link w:val="Quote"/>
    <w:uiPriority w:val="29"/>
    <w:rsid w:val="001E1AA8"/>
    <w:rPr>
      <w:i/>
      <w:sz w:val="24"/>
      <w:szCs w:val="24"/>
    </w:rPr>
  </w:style>
  <w:style w:type="paragraph" w:styleId="IntenseQuote">
    <w:name w:val="Intense Quote"/>
    <w:basedOn w:val="Normal"/>
    <w:next w:val="Normal"/>
    <w:link w:val="IntenseQuoteChar"/>
    <w:uiPriority w:val="30"/>
    <w:qFormat/>
    <w:rsid w:val="001E1AA8"/>
    <w:pPr>
      <w:ind w:left="720" w:right="720"/>
    </w:pPr>
    <w:rPr>
      <w:b/>
      <w:i/>
      <w:szCs w:val="22"/>
    </w:rPr>
  </w:style>
  <w:style w:type="character" w:customStyle="1" w:styleId="IntenseQuoteChar">
    <w:name w:val="Intense Quote Char"/>
    <w:basedOn w:val="DefaultParagraphFont"/>
    <w:link w:val="IntenseQuote"/>
    <w:uiPriority w:val="30"/>
    <w:rsid w:val="001E1AA8"/>
    <w:rPr>
      <w:b/>
      <w:i/>
      <w:sz w:val="24"/>
    </w:rPr>
  </w:style>
  <w:style w:type="character" w:styleId="SubtleEmphasis">
    <w:name w:val="Subtle Emphasis"/>
    <w:uiPriority w:val="19"/>
    <w:qFormat/>
    <w:rsid w:val="001E1AA8"/>
    <w:rPr>
      <w:i/>
      <w:color w:val="5A5A5A" w:themeColor="text1" w:themeTint="A5"/>
    </w:rPr>
  </w:style>
  <w:style w:type="character" w:styleId="IntenseEmphasis">
    <w:name w:val="Intense Emphasis"/>
    <w:basedOn w:val="DefaultParagraphFont"/>
    <w:uiPriority w:val="21"/>
    <w:qFormat/>
    <w:rsid w:val="001E1AA8"/>
    <w:rPr>
      <w:b/>
      <w:i/>
      <w:sz w:val="24"/>
      <w:szCs w:val="24"/>
      <w:u w:val="single"/>
    </w:rPr>
  </w:style>
  <w:style w:type="character" w:styleId="SubtleReference">
    <w:name w:val="Subtle Reference"/>
    <w:basedOn w:val="DefaultParagraphFont"/>
    <w:uiPriority w:val="31"/>
    <w:qFormat/>
    <w:rsid w:val="001E1AA8"/>
    <w:rPr>
      <w:sz w:val="24"/>
      <w:szCs w:val="24"/>
      <w:u w:val="single"/>
    </w:rPr>
  </w:style>
  <w:style w:type="character" w:styleId="IntenseReference">
    <w:name w:val="Intense Reference"/>
    <w:basedOn w:val="DefaultParagraphFont"/>
    <w:uiPriority w:val="32"/>
    <w:qFormat/>
    <w:rsid w:val="001E1AA8"/>
    <w:rPr>
      <w:b/>
      <w:sz w:val="24"/>
      <w:u w:val="single"/>
    </w:rPr>
  </w:style>
  <w:style w:type="character" w:styleId="BookTitle">
    <w:name w:val="Book Title"/>
    <w:basedOn w:val="DefaultParagraphFont"/>
    <w:uiPriority w:val="33"/>
    <w:qFormat/>
    <w:rsid w:val="001E1AA8"/>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1E1AA8"/>
    <w:pPr>
      <w:outlineLvl w:val="9"/>
    </w:pPr>
  </w:style>
  <w:style w:type="paragraph" w:styleId="TOC1">
    <w:name w:val="toc 1"/>
    <w:basedOn w:val="Normal"/>
    <w:next w:val="Normal"/>
    <w:autoRedefine/>
    <w:uiPriority w:val="39"/>
    <w:rsid w:val="001E1AA8"/>
    <w:pPr>
      <w:spacing w:after="100"/>
    </w:pPr>
  </w:style>
  <w:style w:type="paragraph" w:styleId="TOC2">
    <w:name w:val="toc 2"/>
    <w:basedOn w:val="Normal"/>
    <w:next w:val="Normal"/>
    <w:autoRedefine/>
    <w:uiPriority w:val="39"/>
    <w:rsid w:val="001E1AA8"/>
    <w:pPr>
      <w:spacing w:after="100"/>
      <w:ind w:left="240"/>
    </w:pPr>
  </w:style>
  <w:style w:type="character" w:styleId="FollowedHyperlink">
    <w:name w:val="FollowedHyperlink"/>
    <w:basedOn w:val="DefaultParagraphFont"/>
    <w:rsid w:val="0037776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CA" w:eastAsia="en-CA"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caption" w:semiHidden="1" w:unhideWhenUsed="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AA8"/>
    <w:rPr>
      <w:sz w:val="24"/>
      <w:szCs w:val="24"/>
    </w:rPr>
  </w:style>
  <w:style w:type="paragraph" w:styleId="Heading1">
    <w:name w:val="heading 1"/>
    <w:basedOn w:val="Normal"/>
    <w:next w:val="Normal"/>
    <w:link w:val="Heading1Char"/>
    <w:uiPriority w:val="9"/>
    <w:qFormat/>
    <w:rsid w:val="001E1AA8"/>
    <w:pPr>
      <w:keepNext/>
      <w:spacing w:before="240" w:after="60"/>
      <w:outlineLvl w:val="0"/>
    </w:pPr>
    <w:rPr>
      <w:rFonts w:ascii="Arial" w:eastAsiaTheme="majorEastAsia" w:hAnsi="Arial" w:cs="Arial"/>
      <w:bCs/>
      <w:kern w:val="32"/>
      <w:sz w:val="40"/>
      <w:szCs w:val="40"/>
    </w:rPr>
  </w:style>
  <w:style w:type="paragraph" w:styleId="Heading2">
    <w:name w:val="heading 2"/>
    <w:basedOn w:val="Normal"/>
    <w:next w:val="Normal"/>
    <w:link w:val="Heading2Char"/>
    <w:uiPriority w:val="9"/>
    <w:unhideWhenUsed/>
    <w:qFormat/>
    <w:rsid w:val="001E1AA8"/>
    <w:pPr>
      <w:keepNext/>
      <w:spacing w:before="240" w:after="60"/>
      <w:outlineLvl w:val="1"/>
    </w:pPr>
    <w:rPr>
      <w:rFonts w:ascii="Arial" w:eastAsiaTheme="majorEastAsia" w:hAnsi="Arial" w:cs="Arial"/>
      <w:b/>
      <w:bCs/>
      <w:iCs/>
    </w:rPr>
  </w:style>
  <w:style w:type="paragraph" w:styleId="Heading3">
    <w:name w:val="heading 3"/>
    <w:basedOn w:val="Normal"/>
    <w:next w:val="Normal"/>
    <w:link w:val="Heading3Char"/>
    <w:uiPriority w:val="9"/>
    <w:semiHidden/>
    <w:unhideWhenUsed/>
    <w:qFormat/>
    <w:rsid w:val="001E1AA8"/>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E1AA8"/>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1E1AA8"/>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1E1AA8"/>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1E1AA8"/>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1E1AA8"/>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1E1AA8"/>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0C77"/>
    <w:pPr>
      <w:tabs>
        <w:tab w:val="center" w:pos="4320"/>
        <w:tab w:val="right" w:pos="8640"/>
      </w:tabs>
    </w:pPr>
  </w:style>
  <w:style w:type="paragraph" w:styleId="Footer">
    <w:name w:val="footer"/>
    <w:basedOn w:val="Normal"/>
    <w:rsid w:val="00D40C77"/>
    <w:pPr>
      <w:tabs>
        <w:tab w:val="center" w:pos="4320"/>
        <w:tab w:val="right" w:pos="8640"/>
      </w:tabs>
    </w:pPr>
  </w:style>
  <w:style w:type="paragraph" w:styleId="BodyText2">
    <w:name w:val="Body Text 2"/>
    <w:basedOn w:val="Normal"/>
    <w:rsid w:val="009857E7"/>
    <w:pPr>
      <w:tabs>
        <w:tab w:val="left" w:pos="3600"/>
        <w:tab w:val="left" w:pos="7200"/>
      </w:tabs>
      <w:suppressAutoHyphens/>
    </w:pPr>
    <w:rPr>
      <w:rFonts w:ascii="Arial" w:hAnsi="Arial" w:cs="Arial"/>
      <w:b/>
      <w:bCs/>
      <w:i/>
      <w:iCs/>
      <w:szCs w:val="20"/>
      <w:lang w:val="en-GB" w:eastAsia="en-US"/>
    </w:rPr>
  </w:style>
  <w:style w:type="paragraph" w:styleId="FootnoteText">
    <w:name w:val="footnote text"/>
    <w:basedOn w:val="Normal"/>
    <w:semiHidden/>
    <w:rsid w:val="00AA1DE2"/>
    <w:rPr>
      <w:sz w:val="20"/>
      <w:szCs w:val="20"/>
    </w:rPr>
  </w:style>
  <w:style w:type="character" w:styleId="FootnoteReference">
    <w:name w:val="footnote reference"/>
    <w:semiHidden/>
    <w:rsid w:val="00AA1DE2"/>
    <w:rPr>
      <w:vertAlign w:val="superscript"/>
    </w:rPr>
  </w:style>
  <w:style w:type="paragraph" w:styleId="BalloonText">
    <w:name w:val="Balloon Text"/>
    <w:basedOn w:val="Normal"/>
    <w:link w:val="BalloonTextChar"/>
    <w:rsid w:val="005B143A"/>
    <w:rPr>
      <w:rFonts w:ascii="Tahoma" w:hAnsi="Tahoma" w:cs="Tahoma"/>
      <w:sz w:val="16"/>
      <w:szCs w:val="16"/>
    </w:rPr>
  </w:style>
  <w:style w:type="character" w:customStyle="1" w:styleId="BalloonTextChar">
    <w:name w:val="Balloon Text Char"/>
    <w:link w:val="BalloonText"/>
    <w:rsid w:val="005B143A"/>
    <w:rPr>
      <w:rFonts w:ascii="Tahoma" w:hAnsi="Tahoma" w:cs="Tahoma"/>
      <w:sz w:val="16"/>
      <w:szCs w:val="16"/>
    </w:rPr>
  </w:style>
  <w:style w:type="character" w:styleId="Hyperlink">
    <w:name w:val="Hyperlink"/>
    <w:uiPriority w:val="99"/>
    <w:rsid w:val="002014B8"/>
    <w:rPr>
      <w:color w:val="0000FF"/>
      <w:u w:val="single"/>
    </w:rPr>
  </w:style>
  <w:style w:type="character" w:styleId="CommentReference">
    <w:name w:val="annotation reference"/>
    <w:rsid w:val="008956C7"/>
    <w:rPr>
      <w:sz w:val="16"/>
      <w:szCs w:val="16"/>
    </w:rPr>
  </w:style>
  <w:style w:type="paragraph" w:styleId="CommentText">
    <w:name w:val="annotation text"/>
    <w:basedOn w:val="Normal"/>
    <w:link w:val="CommentTextChar"/>
    <w:rsid w:val="008956C7"/>
    <w:rPr>
      <w:sz w:val="20"/>
      <w:szCs w:val="20"/>
    </w:rPr>
  </w:style>
  <w:style w:type="character" w:customStyle="1" w:styleId="CommentTextChar">
    <w:name w:val="Comment Text Char"/>
    <w:basedOn w:val="DefaultParagraphFont"/>
    <w:link w:val="CommentText"/>
    <w:rsid w:val="008956C7"/>
  </w:style>
  <w:style w:type="paragraph" w:styleId="CommentSubject">
    <w:name w:val="annotation subject"/>
    <w:basedOn w:val="CommentText"/>
    <w:next w:val="CommentText"/>
    <w:link w:val="CommentSubjectChar"/>
    <w:rsid w:val="008956C7"/>
    <w:rPr>
      <w:b/>
      <w:bCs/>
    </w:rPr>
  </w:style>
  <w:style w:type="character" w:customStyle="1" w:styleId="CommentSubjectChar">
    <w:name w:val="Comment Subject Char"/>
    <w:link w:val="CommentSubject"/>
    <w:rsid w:val="008956C7"/>
    <w:rPr>
      <w:b/>
      <w:bCs/>
    </w:rPr>
  </w:style>
  <w:style w:type="paragraph" w:styleId="ListParagraph">
    <w:name w:val="List Paragraph"/>
    <w:basedOn w:val="Normal"/>
    <w:uiPriority w:val="34"/>
    <w:qFormat/>
    <w:rsid w:val="001E1AA8"/>
    <w:pPr>
      <w:ind w:left="720"/>
      <w:contextualSpacing/>
    </w:pPr>
  </w:style>
  <w:style w:type="paragraph" w:styleId="Title">
    <w:name w:val="Title"/>
    <w:basedOn w:val="Normal"/>
    <w:next w:val="Normal"/>
    <w:link w:val="TitleChar"/>
    <w:uiPriority w:val="10"/>
    <w:qFormat/>
    <w:rsid w:val="001E1AA8"/>
    <w:pPr>
      <w:spacing w:before="240" w:after="60"/>
      <w:outlineLvl w:val="0"/>
    </w:pPr>
    <w:rPr>
      <w:rFonts w:ascii="Arial" w:eastAsiaTheme="majorEastAsia" w:hAnsi="Arial" w:cs="Arial"/>
      <w:bCs/>
      <w:kern w:val="28"/>
      <w:sz w:val="28"/>
      <w:szCs w:val="28"/>
    </w:rPr>
  </w:style>
  <w:style w:type="character" w:customStyle="1" w:styleId="TitleChar">
    <w:name w:val="Title Char"/>
    <w:basedOn w:val="DefaultParagraphFont"/>
    <w:link w:val="Title"/>
    <w:uiPriority w:val="10"/>
    <w:rsid w:val="001E1AA8"/>
    <w:rPr>
      <w:rFonts w:ascii="Arial" w:eastAsiaTheme="majorEastAsia" w:hAnsi="Arial" w:cs="Arial"/>
      <w:bCs/>
      <w:kern w:val="28"/>
      <w:sz w:val="28"/>
      <w:szCs w:val="28"/>
    </w:rPr>
  </w:style>
  <w:style w:type="character" w:customStyle="1" w:styleId="Heading1Char">
    <w:name w:val="Heading 1 Char"/>
    <w:basedOn w:val="DefaultParagraphFont"/>
    <w:link w:val="Heading1"/>
    <w:uiPriority w:val="9"/>
    <w:rsid w:val="001E1AA8"/>
    <w:rPr>
      <w:rFonts w:ascii="Arial" w:eastAsiaTheme="majorEastAsia" w:hAnsi="Arial" w:cs="Arial"/>
      <w:bCs/>
      <w:kern w:val="32"/>
      <w:sz w:val="40"/>
      <w:szCs w:val="40"/>
    </w:rPr>
  </w:style>
  <w:style w:type="character" w:customStyle="1" w:styleId="Heading2Char">
    <w:name w:val="Heading 2 Char"/>
    <w:basedOn w:val="DefaultParagraphFont"/>
    <w:link w:val="Heading2"/>
    <w:uiPriority w:val="9"/>
    <w:rsid w:val="001E1AA8"/>
    <w:rPr>
      <w:rFonts w:ascii="Arial" w:eastAsiaTheme="majorEastAsia" w:hAnsi="Arial" w:cs="Arial"/>
      <w:b/>
      <w:bCs/>
      <w:iCs/>
      <w:sz w:val="24"/>
      <w:szCs w:val="24"/>
    </w:rPr>
  </w:style>
  <w:style w:type="character" w:customStyle="1" w:styleId="Heading3Char">
    <w:name w:val="Heading 3 Char"/>
    <w:basedOn w:val="DefaultParagraphFont"/>
    <w:link w:val="Heading3"/>
    <w:uiPriority w:val="9"/>
    <w:semiHidden/>
    <w:rsid w:val="001E1AA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E1AA8"/>
    <w:rPr>
      <w:rFonts w:cstheme="majorBidi"/>
      <w:b/>
      <w:bCs/>
      <w:sz w:val="28"/>
      <w:szCs w:val="28"/>
    </w:rPr>
  </w:style>
  <w:style w:type="character" w:customStyle="1" w:styleId="Heading5Char">
    <w:name w:val="Heading 5 Char"/>
    <w:basedOn w:val="DefaultParagraphFont"/>
    <w:link w:val="Heading5"/>
    <w:uiPriority w:val="9"/>
    <w:semiHidden/>
    <w:rsid w:val="001E1AA8"/>
    <w:rPr>
      <w:rFonts w:cstheme="majorBidi"/>
      <w:b/>
      <w:bCs/>
      <w:i/>
      <w:iCs/>
      <w:sz w:val="26"/>
      <w:szCs w:val="26"/>
    </w:rPr>
  </w:style>
  <w:style w:type="character" w:customStyle="1" w:styleId="Heading6Char">
    <w:name w:val="Heading 6 Char"/>
    <w:basedOn w:val="DefaultParagraphFont"/>
    <w:link w:val="Heading6"/>
    <w:uiPriority w:val="9"/>
    <w:semiHidden/>
    <w:rsid w:val="001E1AA8"/>
    <w:rPr>
      <w:rFonts w:cstheme="majorBidi"/>
      <w:b/>
      <w:bCs/>
    </w:rPr>
  </w:style>
  <w:style w:type="character" w:customStyle="1" w:styleId="Heading7Char">
    <w:name w:val="Heading 7 Char"/>
    <w:basedOn w:val="DefaultParagraphFont"/>
    <w:link w:val="Heading7"/>
    <w:uiPriority w:val="9"/>
    <w:semiHidden/>
    <w:rsid w:val="001E1AA8"/>
    <w:rPr>
      <w:rFonts w:cstheme="majorBidi"/>
      <w:sz w:val="24"/>
      <w:szCs w:val="24"/>
    </w:rPr>
  </w:style>
  <w:style w:type="character" w:customStyle="1" w:styleId="Heading8Char">
    <w:name w:val="Heading 8 Char"/>
    <w:basedOn w:val="DefaultParagraphFont"/>
    <w:link w:val="Heading8"/>
    <w:uiPriority w:val="9"/>
    <w:semiHidden/>
    <w:rsid w:val="001E1AA8"/>
    <w:rPr>
      <w:rFonts w:cstheme="majorBidi"/>
      <w:i/>
      <w:iCs/>
      <w:sz w:val="24"/>
      <w:szCs w:val="24"/>
    </w:rPr>
  </w:style>
  <w:style w:type="character" w:customStyle="1" w:styleId="Heading9Char">
    <w:name w:val="Heading 9 Char"/>
    <w:basedOn w:val="DefaultParagraphFont"/>
    <w:link w:val="Heading9"/>
    <w:uiPriority w:val="9"/>
    <w:semiHidden/>
    <w:rsid w:val="001E1AA8"/>
    <w:rPr>
      <w:rFonts w:asciiTheme="majorHAnsi" w:eastAsiaTheme="majorEastAsia" w:hAnsiTheme="majorHAnsi" w:cstheme="majorBidi"/>
    </w:rPr>
  </w:style>
  <w:style w:type="paragraph" w:styleId="Subtitle">
    <w:name w:val="Subtitle"/>
    <w:basedOn w:val="Normal"/>
    <w:next w:val="Normal"/>
    <w:link w:val="SubtitleChar"/>
    <w:uiPriority w:val="11"/>
    <w:qFormat/>
    <w:rsid w:val="001E1AA8"/>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1E1AA8"/>
    <w:rPr>
      <w:rFonts w:asciiTheme="majorHAnsi" w:eastAsiaTheme="majorEastAsia" w:hAnsiTheme="majorHAnsi" w:cstheme="majorBidi"/>
      <w:sz w:val="24"/>
      <w:szCs w:val="24"/>
    </w:rPr>
  </w:style>
  <w:style w:type="character" w:styleId="Strong">
    <w:name w:val="Strong"/>
    <w:basedOn w:val="DefaultParagraphFont"/>
    <w:uiPriority w:val="22"/>
    <w:qFormat/>
    <w:rsid w:val="001E1AA8"/>
    <w:rPr>
      <w:b/>
      <w:bCs/>
    </w:rPr>
  </w:style>
  <w:style w:type="character" w:styleId="Emphasis">
    <w:name w:val="Emphasis"/>
    <w:basedOn w:val="DefaultParagraphFont"/>
    <w:uiPriority w:val="20"/>
    <w:qFormat/>
    <w:rsid w:val="001E1AA8"/>
    <w:rPr>
      <w:rFonts w:asciiTheme="minorHAnsi" w:hAnsiTheme="minorHAnsi"/>
      <w:b/>
      <w:i/>
      <w:iCs/>
    </w:rPr>
  </w:style>
  <w:style w:type="paragraph" w:styleId="NoSpacing">
    <w:name w:val="No Spacing"/>
    <w:basedOn w:val="Normal"/>
    <w:uiPriority w:val="1"/>
    <w:qFormat/>
    <w:rsid w:val="001E1AA8"/>
    <w:rPr>
      <w:szCs w:val="32"/>
    </w:rPr>
  </w:style>
  <w:style w:type="paragraph" w:styleId="Quote">
    <w:name w:val="Quote"/>
    <w:basedOn w:val="Normal"/>
    <w:next w:val="Normal"/>
    <w:link w:val="QuoteChar"/>
    <w:uiPriority w:val="29"/>
    <w:qFormat/>
    <w:rsid w:val="001E1AA8"/>
    <w:rPr>
      <w:i/>
    </w:rPr>
  </w:style>
  <w:style w:type="character" w:customStyle="1" w:styleId="QuoteChar">
    <w:name w:val="Quote Char"/>
    <w:basedOn w:val="DefaultParagraphFont"/>
    <w:link w:val="Quote"/>
    <w:uiPriority w:val="29"/>
    <w:rsid w:val="001E1AA8"/>
    <w:rPr>
      <w:i/>
      <w:sz w:val="24"/>
      <w:szCs w:val="24"/>
    </w:rPr>
  </w:style>
  <w:style w:type="paragraph" w:styleId="IntenseQuote">
    <w:name w:val="Intense Quote"/>
    <w:basedOn w:val="Normal"/>
    <w:next w:val="Normal"/>
    <w:link w:val="IntenseQuoteChar"/>
    <w:uiPriority w:val="30"/>
    <w:qFormat/>
    <w:rsid w:val="001E1AA8"/>
    <w:pPr>
      <w:ind w:left="720" w:right="720"/>
    </w:pPr>
    <w:rPr>
      <w:b/>
      <w:i/>
      <w:szCs w:val="22"/>
    </w:rPr>
  </w:style>
  <w:style w:type="character" w:customStyle="1" w:styleId="IntenseQuoteChar">
    <w:name w:val="Intense Quote Char"/>
    <w:basedOn w:val="DefaultParagraphFont"/>
    <w:link w:val="IntenseQuote"/>
    <w:uiPriority w:val="30"/>
    <w:rsid w:val="001E1AA8"/>
    <w:rPr>
      <w:b/>
      <w:i/>
      <w:sz w:val="24"/>
    </w:rPr>
  </w:style>
  <w:style w:type="character" w:styleId="SubtleEmphasis">
    <w:name w:val="Subtle Emphasis"/>
    <w:uiPriority w:val="19"/>
    <w:qFormat/>
    <w:rsid w:val="001E1AA8"/>
    <w:rPr>
      <w:i/>
      <w:color w:val="5A5A5A" w:themeColor="text1" w:themeTint="A5"/>
    </w:rPr>
  </w:style>
  <w:style w:type="character" w:styleId="IntenseEmphasis">
    <w:name w:val="Intense Emphasis"/>
    <w:basedOn w:val="DefaultParagraphFont"/>
    <w:uiPriority w:val="21"/>
    <w:qFormat/>
    <w:rsid w:val="001E1AA8"/>
    <w:rPr>
      <w:b/>
      <w:i/>
      <w:sz w:val="24"/>
      <w:szCs w:val="24"/>
      <w:u w:val="single"/>
    </w:rPr>
  </w:style>
  <w:style w:type="character" w:styleId="SubtleReference">
    <w:name w:val="Subtle Reference"/>
    <w:basedOn w:val="DefaultParagraphFont"/>
    <w:uiPriority w:val="31"/>
    <w:qFormat/>
    <w:rsid w:val="001E1AA8"/>
    <w:rPr>
      <w:sz w:val="24"/>
      <w:szCs w:val="24"/>
      <w:u w:val="single"/>
    </w:rPr>
  </w:style>
  <w:style w:type="character" w:styleId="IntenseReference">
    <w:name w:val="Intense Reference"/>
    <w:basedOn w:val="DefaultParagraphFont"/>
    <w:uiPriority w:val="32"/>
    <w:qFormat/>
    <w:rsid w:val="001E1AA8"/>
    <w:rPr>
      <w:b/>
      <w:sz w:val="24"/>
      <w:u w:val="single"/>
    </w:rPr>
  </w:style>
  <w:style w:type="character" w:styleId="BookTitle">
    <w:name w:val="Book Title"/>
    <w:basedOn w:val="DefaultParagraphFont"/>
    <w:uiPriority w:val="33"/>
    <w:qFormat/>
    <w:rsid w:val="001E1AA8"/>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1E1AA8"/>
    <w:pPr>
      <w:outlineLvl w:val="9"/>
    </w:pPr>
  </w:style>
  <w:style w:type="paragraph" w:styleId="TOC1">
    <w:name w:val="toc 1"/>
    <w:basedOn w:val="Normal"/>
    <w:next w:val="Normal"/>
    <w:autoRedefine/>
    <w:uiPriority w:val="39"/>
    <w:rsid w:val="001E1AA8"/>
    <w:pPr>
      <w:spacing w:after="100"/>
    </w:pPr>
  </w:style>
  <w:style w:type="paragraph" w:styleId="TOC2">
    <w:name w:val="toc 2"/>
    <w:basedOn w:val="Normal"/>
    <w:next w:val="Normal"/>
    <w:autoRedefine/>
    <w:uiPriority w:val="39"/>
    <w:rsid w:val="001E1AA8"/>
    <w:pPr>
      <w:spacing w:after="100"/>
      <w:ind w:left="240"/>
    </w:pPr>
  </w:style>
  <w:style w:type="character" w:styleId="FollowedHyperlink">
    <w:name w:val="FollowedHyperlink"/>
    <w:basedOn w:val="DefaultParagraphFont"/>
    <w:rsid w:val="003777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82264">
      <w:bodyDiv w:val="1"/>
      <w:marLeft w:val="0"/>
      <w:marRight w:val="0"/>
      <w:marTop w:val="0"/>
      <w:marBottom w:val="0"/>
      <w:divBdr>
        <w:top w:val="none" w:sz="0" w:space="0" w:color="auto"/>
        <w:left w:val="none" w:sz="0" w:space="0" w:color="auto"/>
        <w:bottom w:val="none" w:sz="0" w:space="0" w:color="auto"/>
        <w:right w:val="none" w:sz="0" w:space="0" w:color="auto"/>
      </w:divBdr>
    </w:div>
    <w:div w:id="801270093">
      <w:bodyDiv w:val="1"/>
      <w:marLeft w:val="0"/>
      <w:marRight w:val="0"/>
      <w:marTop w:val="0"/>
      <w:marBottom w:val="0"/>
      <w:divBdr>
        <w:top w:val="none" w:sz="0" w:space="0" w:color="auto"/>
        <w:left w:val="none" w:sz="0" w:space="0" w:color="auto"/>
        <w:bottom w:val="none" w:sz="0" w:space="0" w:color="auto"/>
        <w:right w:val="none" w:sz="0" w:space="0" w:color="auto"/>
      </w:divBdr>
    </w:div>
    <w:div w:id="1433477344">
      <w:bodyDiv w:val="1"/>
      <w:marLeft w:val="0"/>
      <w:marRight w:val="0"/>
      <w:marTop w:val="0"/>
      <w:marBottom w:val="0"/>
      <w:divBdr>
        <w:top w:val="none" w:sz="0" w:space="0" w:color="auto"/>
        <w:left w:val="none" w:sz="0" w:space="0" w:color="auto"/>
        <w:bottom w:val="none" w:sz="0" w:space="0" w:color="auto"/>
        <w:right w:val="none" w:sz="0" w:space="0" w:color="auto"/>
      </w:divBdr>
    </w:div>
    <w:div w:id="1756780182">
      <w:bodyDiv w:val="1"/>
      <w:marLeft w:val="0"/>
      <w:marRight w:val="0"/>
      <w:marTop w:val="0"/>
      <w:marBottom w:val="0"/>
      <w:divBdr>
        <w:top w:val="none" w:sz="0" w:space="0" w:color="auto"/>
        <w:left w:val="none" w:sz="0" w:space="0" w:color="auto"/>
        <w:bottom w:val="none" w:sz="0" w:space="0" w:color="auto"/>
        <w:right w:val="none" w:sz="0" w:space="0" w:color="auto"/>
      </w:divBdr>
    </w:div>
    <w:div w:id="1891190511">
      <w:bodyDiv w:val="1"/>
      <w:marLeft w:val="0"/>
      <w:marRight w:val="0"/>
      <w:marTop w:val="0"/>
      <w:marBottom w:val="0"/>
      <w:divBdr>
        <w:top w:val="none" w:sz="0" w:space="0" w:color="auto"/>
        <w:left w:val="none" w:sz="0" w:space="0" w:color="auto"/>
        <w:bottom w:val="none" w:sz="0" w:space="0" w:color="auto"/>
        <w:right w:val="none" w:sz="0" w:space="0" w:color="auto"/>
      </w:divBdr>
    </w:div>
    <w:div w:id="206236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A1090-8D4F-4DC2-BE76-0F25635DD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2029</Words>
  <Characters>12121</Characters>
  <Application>Microsoft Office Word</Application>
  <DocSecurity>0</DocSecurity>
  <Lines>484</Lines>
  <Paragraphs>142</Paragraphs>
  <ScaleCrop>false</ScaleCrop>
  <HeadingPairs>
    <vt:vector size="2" baseType="variant">
      <vt:variant>
        <vt:lpstr>Title</vt:lpstr>
      </vt:variant>
      <vt:variant>
        <vt:i4>1</vt:i4>
      </vt:variant>
    </vt:vector>
  </HeadingPairs>
  <TitlesOfParts>
    <vt:vector size="1" baseType="lpstr">
      <vt:lpstr>Archives of Ontario Private Acquisitions Strategy</vt:lpstr>
    </vt:vector>
  </TitlesOfParts>
  <Company>Government of Ontario</Company>
  <LinksUpToDate>false</LinksUpToDate>
  <CharactersWithSpaces>14008</CharactersWithSpaces>
  <SharedDoc>false</SharedDoc>
  <HLinks>
    <vt:vector size="6" baseType="variant">
      <vt:variant>
        <vt:i4>5767258</vt:i4>
      </vt:variant>
      <vt:variant>
        <vt:i4>0</vt:i4>
      </vt:variant>
      <vt:variant>
        <vt:i4>0</vt:i4>
      </vt:variant>
      <vt:variant>
        <vt:i4>5</vt:i4>
      </vt:variant>
      <vt:variant>
        <vt:lpwstr>http://www.world-nuclear.org/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Archives of Ontario Private Acquisitions Strategy</dc:title>
  <dc:creator>birrelad</dc:creator>
  <cp:lastModifiedBy>Birrell, Adam (MGS)</cp:lastModifiedBy>
  <cp:revision>9</cp:revision>
  <cp:lastPrinted>2016-11-25T16:19:00Z</cp:lastPrinted>
  <dcterms:created xsi:type="dcterms:W3CDTF">2015-05-19T17:41:00Z</dcterms:created>
  <dcterms:modified xsi:type="dcterms:W3CDTF">2016-11-25T16:19:00Z</dcterms:modified>
</cp:coreProperties>
</file>