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77" w:rsidRDefault="00D40C77" w:rsidP="00D40C77"/>
    <w:p w:rsidR="00D40C77" w:rsidRDefault="00D40C77" w:rsidP="00D40C77"/>
    <w:p w:rsidR="00D40C77" w:rsidRDefault="00D40C77" w:rsidP="00D40C77"/>
    <w:p w:rsidR="00D40C77" w:rsidRPr="00FA3B1B" w:rsidRDefault="00D40C77" w:rsidP="00FA3B1B">
      <w:pPr>
        <w:rPr>
          <w:rFonts w:ascii="Arial" w:hAnsi="Arial" w:cs="Arial"/>
          <w:b/>
          <w:sz w:val="28"/>
          <w:szCs w:val="28"/>
        </w:rPr>
      </w:pPr>
      <w:bookmarkStart w:id="0" w:name="_Toc467489229"/>
      <w:r w:rsidRPr="00FA3B1B">
        <w:rPr>
          <w:rFonts w:ascii="Arial" w:hAnsi="Arial" w:cs="Arial"/>
          <w:sz w:val="28"/>
          <w:szCs w:val="28"/>
        </w:rPr>
        <w:t>Archives of Ontario Private Acquisitions Strategy</w:t>
      </w:r>
      <w:bookmarkEnd w:id="0"/>
    </w:p>
    <w:p w:rsidR="00D40C77" w:rsidRDefault="00D40C77" w:rsidP="007A2BB1">
      <w:pPr>
        <w:pStyle w:val="Title"/>
        <w:jc w:val="left"/>
        <w:rPr>
          <w:rFonts w:ascii="Arial" w:hAnsi="Arial" w:cs="Arial"/>
          <w:b w:val="0"/>
          <w:sz w:val="40"/>
          <w:szCs w:val="40"/>
        </w:rPr>
      </w:pPr>
      <w:bookmarkStart w:id="1" w:name="OLE_LINK1"/>
      <w:bookmarkStart w:id="2" w:name="OLE_LINK2"/>
      <w:bookmarkStart w:id="3" w:name="_Toc467489230"/>
      <w:r w:rsidRPr="0011640F">
        <w:rPr>
          <w:rFonts w:ascii="Arial" w:hAnsi="Arial" w:cs="Arial"/>
          <w:b w:val="0"/>
          <w:sz w:val="40"/>
          <w:szCs w:val="40"/>
        </w:rPr>
        <w:t xml:space="preserve">Analysis Report of the </w:t>
      </w:r>
      <w:bookmarkEnd w:id="1"/>
      <w:bookmarkEnd w:id="2"/>
      <w:r w:rsidR="00E072ED" w:rsidRPr="0011640F">
        <w:rPr>
          <w:rFonts w:ascii="Arial" w:hAnsi="Arial" w:cs="Arial"/>
          <w:sz w:val="40"/>
          <w:szCs w:val="40"/>
        </w:rPr>
        <w:t>Labour</w:t>
      </w:r>
      <w:r w:rsidR="001A7077" w:rsidRPr="0011640F">
        <w:rPr>
          <w:rFonts w:ascii="Arial" w:hAnsi="Arial" w:cs="Arial"/>
          <w:b w:val="0"/>
          <w:sz w:val="40"/>
          <w:szCs w:val="40"/>
        </w:rPr>
        <w:t xml:space="preserve"> Sector in Ontario</w:t>
      </w:r>
      <w:bookmarkEnd w:id="3"/>
    </w:p>
    <w:p w:rsidR="007A2BB1" w:rsidRDefault="007A2BB1" w:rsidP="007A2BB1"/>
    <w:p w:rsidR="007A2BB1" w:rsidRPr="007A2BB1" w:rsidRDefault="007A2BB1" w:rsidP="007A2BB1"/>
    <w:p w:rsidR="00D40C77" w:rsidRPr="00981E95" w:rsidRDefault="00E77064" w:rsidP="00D40C77">
      <w:pPr>
        <w:rPr>
          <w:rFonts w:ascii="Arial" w:hAnsi="Arial" w:cs="Arial"/>
          <w:b/>
          <w:sz w:val="28"/>
          <w:szCs w:val="28"/>
        </w:rPr>
      </w:pPr>
      <w:r w:rsidRPr="00981E95">
        <w:rPr>
          <w:rFonts w:ascii="Arial" w:hAnsi="Arial" w:cs="Arial"/>
          <w:b/>
          <w:sz w:val="28"/>
          <w:szCs w:val="28"/>
        </w:rPr>
        <w:t xml:space="preserve">Version </w:t>
      </w:r>
      <w:r w:rsidR="00B10FA9">
        <w:rPr>
          <w:rFonts w:ascii="Arial" w:hAnsi="Arial" w:cs="Arial"/>
          <w:b/>
          <w:sz w:val="28"/>
          <w:szCs w:val="28"/>
        </w:rPr>
        <w:t>1</w:t>
      </w:r>
    </w:p>
    <w:p w:rsidR="00F4566C" w:rsidRPr="00115CD4" w:rsidRDefault="00B10FA9" w:rsidP="00F4566C">
      <w:pPr>
        <w:rPr>
          <w:rFonts w:ascii="Arial" w:hAnsi="Arial" w:cs="Arial"/>
          <w:b/>
          <w:sz w:val="28"/>
          <w:szCs w:val="28"/>
        </w:rPr>
      </w:pPr>
      <w:r>
        <w:rPr>
          <w:rFonts w:ascii="Arial" w:hAnsi="Arial" w:cs="Arial"/>
          <w:b/>
          <w:sz w:val="28"/>
          <w:szCs w:val="28"/>
        </w:rPr>
        <w:t>September</w:t>
      </w:r>
      <w:r w:rsidR="00E072ED">
        <w:rPr>
          <w:rFonts w:ascii="Arial" w:hAnsi="Arial" w:cs="Arial"/>
          <w:b/>
          <w:sz w:val="28"/>
          <w:szCs w:val="28"/>
        </w:rPr>
        <w:t xml:space="preserve"> 2015</w:t>
      </w:r>
    </w:p>
    <w:p w:rsidR="00FE2E1B" w:rsidRDefault="00FE2E1B" w:rsidP="00FE2E1B">
      <w:pPr>
        <w:rPr>
          <w:rFonts w:ascii="Arial" w:hAnsi="Arial" w:cs="Arial"/>
        </w:rPr>
      </w:pPr>
    </w:p>
    <w:p w:rsidR="0011640F" w:rsidRPr="0011640F" w:rsidRDefault="00FE2E1B" w:rsidP="0011640F">
      <w:pPr>
        <w:pStyle w:val="Heading1"/>
      </w:pPr>
      <w:r>
        <w:br w:type="page"/>
      </w:r>
      <w:r w:rsidR="0011640F" w:rsidRPr="0011640F">
        <w:lastRenderedPageBreak/>
        <w:t>Contents</w:t>
      </w:r>
      <w:r w:rsidR="0011640F" w:rsidRPr="0011640F">
        <w:fldChar w:fldCharType="begin"/>
      </w:r>
      <w:r w:rsidR="0011640F" w:rsidRPr="0011640F">
        <w:instrText xml:space="preserve"> TOC \o "1-3" \h \z \u </w:instrText>
      </w:r>
      <w:r w:rsidR="0011640F" w:rsidRPr="0011640F">
        <w:fldChar w:fldCharType="separate"/>
      </w:r>
    </w:p>
    <w:p w:rsidR="0011640F" w:rsidRPr="0011640F" w:rsidRDefault="00CF5E2F">
      <w:pPr>
        <w:pStyle w:val="TOC1"/>
        <w:tabs>
          <w:tab w:val="right" w:leader="dot" w:pos="8630"/>
        </w:tabs>
        <w:rPr>
          <w:rFonts w:ascii="Arial" w:hAnsi="Arial" w:cs="Arial"/>
          <w:noProof/>
          <w:sz w:val="22"/>
          <w:szCs w:val="22"/>
        </w:rPr>
      </w:pPr>
      <w:hyperlink w:anchor="_Toc467489232" w:history="1">
        <w:r w:rsidR="0011640F" w:rsidRPr="0011640F">
          <w:rPr>
            <w:rStyle w:val="Hyperlink"/>
            <w:rFonts w:ascii="Arial" w:hAnsi="Arial" w:cs="Arial"/>
            <w:noProof/>
            <w:color w:val="auto"/>
          </w:rPr>
          <w:t>1. Purpose</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_Toc467489232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3</w:t>
        </w:r>
        <w:r w:rsidR="0011640F" w:rsidRPr="0011640F">
          <w:rPr>
            <w:rFonts w:ascii="Arial" w:hAnsi="Arial" w:cs="Arial"/>
            <w:noProof/>
            <w:webHidden/>
          </w:rPr>
          <w:fldChar w:fldCharType="end"/>
        </w:r>
      </w:hyperlink>
    </w:p>
    <w:p w:rsidR="0011640F" w:rsidRPr="0011640F" w:rsidRDefault="00CF5E2F">
      <w:pPr>
        <w:pStyle w:val="TOC1"/>
        <w:tabs>
          <w:tab w:val="right" w:leader="dot" w:pos="8630"/>
        </w:tabs>
        <w:rPr>
          <w:rFonts w:ascii="Arial" w:hAnsi="Arial" w:cs="Arial"/>
          <w:noProof/>
          <w:sz w:val="22"/>
          <w:szCs w:val="22"/>
        </w:rPr>
      </w:pPr>
      <w:hyperlink w:anchor="_Toc467489233" w:history="1">
        <w:r w:rsidR="0011640F" w:rsidRPr="0011640F">
          <w:rPr>
            <w:rStyle w:val="Hyperlink"/>
            <w:rFonts w:ascii="Arial" w:hAnsi="Arial" w:cs="Arial"/>
            <w:noProof/>
            <w:color w:val="auto"/>
          </w:rPr>
          <w:t>2. Overview of the Labour Sector in Ontario</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_Toc467489233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3</w:t>
        </w:r>
        <w:r w:rsidR="0011640F" w:rsidRPr="0011640F">
          <w:rPr>
            <w:rFonts w:ascii="Arial" w:hAnsi="Arial" w:cs="Arial"/>
            <w:noProof/>
            <w:webHidden/>
          </w:rPr>
          <w:fldChar w:fldCharType="end"/>
        </w:r>
      </w:hyperlink>
    </w:p>
    <w:p w:rsidR="0011640F" w:rsidRPr="0011640F" w:rsidRDefault="00CF5E2F">
      <w:pPr>
        <w:pStyle w:val="TOC1"/>
        <w:tabs>
          <w:tab w:val="right" w:leader="dot" w:pos="8630"/>
        </w:tabs>
        <w:rPr>
          <w:rFonts w:ascii="Arial" w:hAnsi="Arial" w:cs="Arial"/>
          <w:noProof/>
          <w:sz w:val="22"/>
          <w:szCs w:val="22"/>
        </w:rPr>
      </w:pPr>
      <w:hyperlink w:anchor="_Toc467489234" w:history="1">
        <w:r w:rsidR="0011640F" w:rsidRPr="0011640F">
          <w:rPr>
            <w:rStyle w:val="Hyperlink"/>
            <w:rFonts w:ascii="Arial" w:hAnsi="Arial" w:cs="Arial"/>
            <w:noProof/>
            <w:color w:val="auto"/>
          </w:rPr>
          <w:t>3. Analysis of Archives of Ontario Holdings</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_Toc467489234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6</w:t>
        </w:r>
        <w:r w:rsidR="0011640F" w:rsidRPr="0011640F">
          <w:rPr>
            <w:rFonts w:ascii="Arial" w:hAnsi="Arial" w:cs="Arial"/>
            <w:noProof/>
            <w:webHidden/>
          </w:rPr>
          <w:fldChar w:fldCharType="end"/>
        </w:r>
      </w:hyperlink>
    </w:p>
    <w:p w:rsidR="0011640F" w:rsidRPr="0011640F" w:rsidRDefault="00CF5E2F">
      <w:pPr>
        <w:pStyle w:val="TOC1"/>
        <w:tabs>
          <w:tab w:val="right" w:leader="dot" w:pos="8630"/>
        </w:tabs>
        <w:rPr>
          <w:rFonts w:ascii="Arial" w:hAnsi="Arial" w:cs="Arial"/>
          <w:noProof/>
          <w:sz w:val="22"/>
          <w:szCs w:val="22"/>
        </w:rPr>
      </w:pPr>
      <w:hyperlink w:anchor="_Toc467489235" w:history="1">
        <w:r w:rsidR="0011640F" w:rsidRPr="0011640F">
          <w:rPr>
            <w:rStyle w:val="Hyperlink"/>
            <w:rFonts w:ascii="Arial" w:hAnsi="Arial" w:cs="Arial"/>
            <w:noProof/>
            <w:color w:val="auto"/>
          </w:rPr>
          <w:t>4. Methodology for Analyzing the Labour Sector</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_Toc467489235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7</w:t>
        </w:r>
        <w:r w:rsidR="0011640F" w:rsidRPr="0011640F">
          <w:rPr>
            <w:rFonts w:ascii="Arial" w:hAnsi="Arial" w:cs="Arial"/>
            <w:noProof/>
            <w:webHidden/>
          </w:rPr>
          <w:fldChar w:fldCharType="end"/>
        </w:r>
      </w:hyperlink>
    </w:p>
    <w:p w:rsidR="0011640F" w:rsidRPr="0011640F" w:rsidRDefault="00CF5E2F">
      <w:pPr>
        <w:pStyle w:val="TOC2"/>
        <w:tabs>
          <w:tab w:val="right" w:leader="dot" w:pos="8630"/>
        </w:tabs>
        <w:rPr>
          <w:rFonts w:ascii="Arial" w:hAnsi="Arial" w:cs="Arial"/>
          <w:noProof/>
          <w:sz w:val="22"/>
          <w:szCs w:val="22"/>
        </w:rPr>
      </w:pPr>
      <w:hyperlink w:anchor="_Toc467489236" w:history="1">
        <w:r w:rsidR="0011640F" w:rsidRPr="0011640F">
          <w:rPr>
            <w:rStyle w:val="Hyperlink"/>
            <w:rFonts w:ascii="Arial" w:hAnsi="Arial" w:cs="Arial"/>
            <w:noProof/>
            <w:color w:val="auto"/>
          </w:rPr>
          <w:t>Sub-sector Identifications</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_Toc467489236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7</w:t>
        </w:r>
        <w:r w:rsidR="0011640F" w:rsidRPr="0011640F">
          <w:rPr>
            <w:rFonts w:ascii="Arial" w:hAnsi="Arial" w:cs="Arial"/>
            <w:noProof/>
            <w:webHidden/>
          </w:rPr>
          <w:fldChar w:fldCharType="end"/>
        </w:r>
      </w:hyperlink>
    </w:p>
    <w:p w:rsidR="0011640F" w:rsidRPr="0011640F" w:rsidRDefault="00CF5E2F">
      <w:pPr>
        <w:pStyle w:val="TOC2"/>
        <w:tabs>
          <w:tab w:val="right" w:leader="dot" w:pos="8630"/>
        </w:tabs>
        <w:rPr>
          <w:rFonts w:ascii="Arial" w:hAnsi="Arial" w:cs="Arial"/>
          <w:noProof/>
          <w:sz w:val="22"/>
          <w:szCs w:val="22"/>
        </w:rPr>
      </w:pPr>
      <w:hyperlink w:anchor="_Toc467489237" w:history="1">
        <w:r w:rsidR="0011640F" w:rsidRPr="0011640F">
          <w:rPr>
            <w:rStyle w:val="Hyperlink"/>
            <w:rFonts w:ascii="Arial" w:hAnsi="Arial" w:cs="Arial"/>
            <w:noProof/>
            <w:color w:val="auto"/>
          </w:rPr>
          <w:t>Exclusions and Limitations</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_Toc467489237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7</w:t>
        </w:r>
        <w:r w:rsidR="0011640F" w:rsidRPr="0011640F">
          <w:rPr>
            <w:rFonts w:ascii="Arial" w:hAnsi="Arial" w:cs="Arial"/>
            <w:noProof/>
            <w:webHidden/>
          </w:rPr>
          <w:fldChar w:fldCharType="end"/>
        </w:r>
      </w:hyperlink>
    </w:p>
    <w:p w:rsidR="0011640F" w:rsidRPr="0011640F" w:rsidRDefault="00CF5E2F">
      <w:pPr>
        <w:pStyle w:val="TOC1"/>
        <w:tabs>
          <w:tab w:val="right" w:leader="dot" w:pos="8630"/>
        </w:tabs>
        <w:rPr>
          <w:rFonts w:ascii="Arial" w:hAnsi="Arial" w:cs="Arial"/>
          <w:noProof/>
          <w:sz w:val="22"/>
          <w:szCs w:val="22"/>
        </w:rPr>
      </w:pPr>
      <w:hyperlink w:anchor="_Toc467489238" w:history="1">
        <w:r w:rsidR="0011640F" w:rsidRPr="0011640F">
          <w:rPr>
            <w:rStyle w:val="Hyperlink"/>
            <w:rFonts w:ascii="Arial" w:hAnsi="Arial" w:cs="Arial"/>
            <w:noProof/>
            <w:color w:val="auto"/>
          </w:rPr>
          <w:t>5. Analysis of Labour sub-sectors</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_Toc467489238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7</w:t>
        </w:r>
        <w:r w:rsidR="0011640F" w:rsidRPr="0011640F">
          <w:rPr>
            <w:rFonts w:ascii="Arial" w:hAnsi="Arial" w:cs="Arial"/>
            <w:noProof/>
            <w:webHidden/>
          </w:rPr>
          <w:fldChar w:fldCharType="end"/>
        </w:r>
      </w:hyperlink>
    </w:p>
    <w:p w:rsidR="0011640F" w:rsidRPr="0011640F" w:rsidRDefault="00CF5E2F">
      <w:pPr>
        <w:pStyle w:val="TOC2"/>
        <w:tabs>
          <w:tab w:val="right" w:leader="dot" w:pos="8630"/>
        </w:tabs>
        <w:rPr>
          <w:rFonts w:ascii="Arial" w:hAnsi="Arial" w:cs="Arial"/>
          <w:noProof/>
          <w:sz w:val="22"/>
          <w:szCs w:val="22"/>
        </w:rPr>
      </w:pPr>
      <w:hyperlink w:anchor="_Toc467489239" w:history="1">
        <w:r w:rsidR="0011640F" w:rsidRPr="0011640F">
          <w:rPr>
            <w:rStyle w:val="Hyperlink"/>
            <w:rFonts w:ascii="Arial" w:hAnsi="Arial" w:cs="Arial"/>
            <w:noProof/>
            <w:color w:val="auto"/>
          </w:rPr>
          <w:t>Labour Sub-sectors:</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_Toc467489239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8</w:t>
        </w:r>
        <w:r w:rsidR="0011640F" w:rsidRPr="0011640F">
          <w:rPr>
            <w:rFonts w:ascii="Arial" w:hAnsi="Arial" w:cs="Arial"/>
            <w:noProof/>
            <w:webHidden/>
          </w:rPr>
          <w:fldChar w:fldCharType="end"/>
        </w:r>
      </w:hyperlink>
    </w:p>
    <w:p w:rsidR="0011640F" w:rsidRPr="0011640F" w:rsidRDefault="00CF5E2F">
      <w:pPr>
        <w:pStyle w:val="TOC2"/>
        <w:tabs>
          <w:tab w:val="right" w:leader="dot" w:pos="8630"/>
        </w:tabs>
        <w:rPr>
          <w:rFonts w:ascii="Arial" w:hAnsi="Arial" w:cs="Arial"/>
          <w:noProof/>
          <w:sz w:val="22"/>
          <w:szCs w:val="22"/>
        </w:rPr>
      </w:pPr>
      <w:hyperlink w:anchor="_Toc467489240" w:history="1">
        <w:r w:rsidR="0011640F" w:rsidRPr="0011640F">
          <w:rPr>
            <w:rStyle w:val="Hyperlink"/>
            <w:rFonts w:ascii="Arial" w:hAnsi="Arial" w:cs="Arial"/>
            <w:noProof/>
            <w:color w:val="auto"/>
          </w:rPr>
          <w:t>Government Functional Linkages:</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_Toc467489240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8</w:t>
        </w:r>
        <w:r w:rsidR="0011640F" w:rsidRPr="0011640F">
          <w:rPr>
            <w:rFonts w:ascii="Arial" w:hAnsi="Arial" w:cs="Arial"/>
            <w:noProof/>
            <w:webHidden/>
          </w:rPr>
          <w:fldChar w:fldCharType="end"/>
        </w:r>
      </w:hyperlink>
    </w:p>
    <w:p w:rsidR="0011640F" w:rsidRPr="0011640F" w:rsidRDefault="00CF5E2F">
      <w:pPr>
        <w:pStyle w:val="TOC1"/>
        <w:tabs>
          <w:tab w:val="right" w:leader="dot" w:pos="8630"/>
        </w:tabs>
        <w:rPr>
          <w:rFonts w:ascii="Arial" w:hAnsi="Arial" w:cs="Arial"/>
          <w:noProof/>
          <w:sz w:val="22"/>
          <w:szCs w:val="22"/>
        </w:rPr>
      </w:pPr>
      <w:hyperlink w:anchor="_Toc467489241" w:history="1">
        <w:r w:rsidR="0011640F" w:rsidRPr="0011640F">
          <w:rPr>
            <w:rStyle w:val="Hyperlink"/>
            <w:rFonts w:ascii="Arial" w:hAnsi="Arial" w:cs="Arial"/>
            <w:noProof/>
            <w:color w:val="auto"/>
          </w:rPr>
          <w:t>Appendix A: Analysis of Labour Sub-sectors</w:t>
        </w:r>
        <w:r w:rsidR="0011640F" w:rsidRPr="0011640F">
          <w:rPr>
            <w:rFonts w:ascii="Arial" w:hAnsi="Arial" w:cs="Arial"/>
            <w:noProof/>
            <w:webHidden/>
          </w:rPr>
          <w:tab/>
        </w:r>
        <w:r w:rsidR="0011640F" w:rsidRPr="0011640F">
          <w:rPr>
            <w:rFonts w:ascii="Arial" w:hAnsi="Arial" w:cs="Arial"/>
            <w:noProof/>
            <w:webHidden/>
          </w:rPr>
          <w:fldChar w:fldCharType="begin"/>
        </w:r>
        <w:r w:rsidR="0011640F" w:rsidRPr="0011640F">
          <w:rPr>
            <w:rFonts w:ascii="Arial" w:hAnsi="Arial" w:cs="Arial"/>
            <w:noProof/>
            <w:webHidden/>
          </w:rPr>
          <w:instrText xml:space="preserve"> PAGEREF _Toc467489241 \h </w:instrText>
        </w:r>
        <w:r w:rsidR="0011640F" w:rsidRPr="0011640F">
          <w:rPr>
            <w:rFonts w:ascii="Arial" w:hAnsi="Arial" w:cs="Arial"/>
            <w:noProof/>
            <w:webHidden/>
          </w:rPr>
        </w:r>
        <w:r w:rsidR="0011640F" w:rsidRPr="0011640F">
          <w:rPr>
            <w:rFonts w:ascii="Arial" w:hAnsi="Arial" w:cs="Arial"/>
            <w:noProof/>
            <w:webHidden/>
          </w:rPr>
          <w:fldChar w:fldCharType="separate"/>
        </w:r>
        <w:r w:rsidR="0011640F" w:rsidRPr="0011640F">
          <w:rPr>
            <w:rFonts w:ascii="Arial" w:hAnsi="Arial" w:cs="Arial"/>
            <w:noProof/>
            <w:webHidden/>
          </w:rPr>
          <w:t>9</w:t>
        </w:r>
        <w:r w:rsidR="0011640F" w:rsidRPr="0011640F">
          <w:rPr>
            <w:rFonts w:ascii="Arial" w:hAnsi="Arial" w:cs="Arial"/>
            <w:noProof/>
            <w:webHidden/>
          </w:rPr>
          <w:fldChar w:fldCharType="end"/>
        </w:r>
      </w:hyperlink>
    </w:p>
    <w:p w:rsidR="00FE2E1B" w:rsidRPr="0011640F" w:rsidRDefault="0011640F" w:rsidP="0011640F">
      <w:pPr>
        <w:pStyle w:val="Heading1"/>
      </w:pPr>
      <w:r w:rsidRPr="0011640F">
        <w:rPr>
          <w:b/>
          <w:noProof/>
        </w:rPr>
        <w:fldChar w:fldCharType="end"/>
      </w:r>
      <w:r w:rsidR="00E95576">
        <w:br w:type="page"/>
      </w:r>
      <w:bookmarkStart w:id="4" w:name="_Toc467489232"/>
      <w:r w:rsidR="00483AA9" w:rsidRPr="0011640F">
        <w:lastRenderedPageBreak/>
        <w:t xml:space="preserve">1. </w:t>
      </w:r>
      <w:r w:rsidR="00A27D5E" w:rsidRPr="0011640F">
        <w:t>Purpose</w:t>
      </w:r>
      <w:bookmarkEnd w:id="4"/>
    </w:p>
    <w:p w:rsidR="00D55529" w:rsidRDefault="00D55529" w:rsidP="00FE2E1B">
      <w:pPr>
        <w:rPr>
          <w:rFonts w:ascii="Arial" w:hAnsi="Arial" w:cs="Arial"/>
        </w:rPr>
      </w:pPr>
      <w:r>
        <w:rPr>
          <w:rFonts w:ascii="Arial" w:hAnsi="Arial" w:cs="Arial"/>
        </w:rPr>
        <w:t xml:space="preserve">The purpose of this </w:t>
      </w:r>
      <w:r w:rsidR="00156008">
        <w:rPr>
          <w:rFonts w:ascii="Arial" w:hAnsi="Arial" w:cs="Arial"/>
        </w:rPr>
        <w:t>report is to</w:t>
      </w:r>
      <w:r w:rsidR="00BE4FFF">
        <w:rPr>
          <w:rFonts w:ascii="Arial" w:hAnsi="Arial" w:cs="Arial"/>
        </w:rPr>
        <w:t xml:space="preserve"> carry forward key recommendations from the Archives of Ontario Private Acquisitions Strategy by conducting examinations of Ontario’s major sectors. This report</w:t>
      </w:r>
      <w:r w:rsidR="00156008">
        <w:rPr>
          <w:rFonts w:ascii="Arial" w:hAnsi="Arial" w:cs="Arial"/>
        </w:rPr>
        <w:t xml:space="preserve"> highlight</w:t>
      </w:r>
      <w:r w:rsidR="00BE4FFF">
        <w:rPr>
          <w:rFonts w:ascii="Arial" w:hAnsi="Arial" w:cs="Arial"/>
        </w:rPr>
        <w:t>s sub-sectors or</w:t>
      </w:r>
      <w:r w:rsidR="005717B3">
        <w:rPr>
          <w:rFonts w:ascii="Arial" w:hAnsi="Arial" w:cs="Arial"/>
        </w:rPr>
        <w:t xml:space="preserve"> </w:t>
      </w:r>
      <w:r w:rsidR="00736F61">
        <w:rPr>
          <w:rFonts w:ascii="Arial" w:hAnsi="Arial" w:cs="Arial"/>
        </w:rPr>
        <w:t xml:space="preserve">areas within the </w:t>
      </w:r>
      <w:r w:rsidR="007103B0">
        <w:rPr>
          <w:rFonts w:ascii="Arial" w:hAnsi="Arial" w:cs="Arial"/>
        </w:rPr>
        <w:t>l</w:t>
      </w:r>
      <w:r w:rsidR="00E072ED">
        <w:rPr>
          <w:rFonts w:ascii="Arial" w:hAnsi="Arial" w:cs="Arial"/>
        </w:rPr>
        <w:t>abour</w:t>
      </w:r>
      <w:r w:rsidR="00E77064">
        <w:rPr>
          <w:rFonts w:ascii="Arial" w:hAnsi="Arial" w:cs="Arial"/>
        </w:rPr>
        <w:t xml:space="preserve"> </w:t>
      </w:r>
      <w:r w:rsidR="00156008">
        <w:rPr>
          <w:rFonts w:ascii="Arial" w:hAnsi="Arial" w:cs="Arial"/>
        </w:rPr>
        <w:t>sector which are likely to generate records of provincial significance.</w:t>
      </w:r>
      <w:r w:rsidR="009379CB">
        <w:rPr>
          <w:rFonts w:ascii="Arial" w:hAnsi="Arial" w:cs="Arial"/>
        </w:rPr>
        <w:t xml:space="preserve"> </w:t>
      </w:r>
    </w:p>
    <w:p w:rsidR="00883E88" w:rsidRDefault="00883E88" w:rsidP="00FE2E1B">
      <w:pPr>
        <w:rPr>
          <w:rFonts w:ascii="Arial" w:hAnsi="Arial" w:cs="Arial"/>
        </w:rPr>
      </w:pPr>
    </w:p>
    <w:p w:rsidR="00DF6545" w:rsidRDefault="00496B37" w:rsidP="00FE2E1B">
      <w:pPr>
        <w:rPr>
          <w:rFonts w:ascii="Arial" w:hAnsi="Arial" w:cs="Arial"/>
        </w:rPr>
      </w:pPr>
      <w:r>
        <w:rPr>
          <w:rFonts w:ascii="Arial" w:hAnsi="Arial" w:cs="Arial"/>
        </w:rPr>
        <w:t>Fair, safe, and stable work environments are essential to the productivity of businesses, and the social and economic well-being of the people of Ontario. A healthy labou</w:t>
      </w:r>
      <w:r w:rsidR="00816E19">
        <w:rPr>
          <w:rFonts w:ascii="Arial" w:hAnsi="Arial" w:cs="Arial"/>
        </w:rPr>
        <w:t xml:space="preserve">r environment supports a strong, </w:t>
      </w:r>
      <w:r>
        <w:rPr>
          <w:rFonts w:ascii="Arial" w:hAnsi="Arial" w:cs="Arial"/>
        </w:rPr>
        <w:t>competitive economy and job market for the province. Therefore, the need to document this sector is high.</w:t>
      </w:r>
    </w:p>
    <w:p w:rsidR="00DF6545" w:rsidRDefault="00DF6545" w:rsidP="00FE2E1B">
      <w:pPr>
        <w:rPr>
          <w:rFonts w:ascii="Arial" w:hAnsi="Arial" w:cs="Arial"/>
        </w:rPr>
      </w:pPr>
    </w:p>
    <w:p w:rsidR="00156D85" w:rsidRPr="00156D85" w:rsidRDefault="00883E88" w:rsidP="00156D85">
      <w:pPr>
        <w:rPr>
          <w:rFonts w:ascii="Arial" w:hAnsi="Arial" w:cs="Arial"/>
        </w:rPr>
      </w:pPr>
      <w:r>
        <w:rPr>
          <w:rFonts w:ascii="Arial" w:hAnsi="Arial" w:cs="Arial"/>
        </w:rPr>
        <w:t xml:space="preserve">The identification and appraisal of activities within the </w:t>
      </w:r>
      <w:r w:rsidR="007103B0">
        <w:rPr>
          <w:rFonts w:ascii="Arial" w:hAnsi="Arial" w:cs="Arial"/>
        </w:rPr>
        <w:t>l</w:t>
      </w:r>
      <w:r w:rsidR="00E072ED">
        <w:rPr>
          <w:rFonts w:ascii="Arial" w:hAnsi="Arial" w:cs="Arial"/>
        </w:rPr>
        <w:t>abour</w:t>
      </w:r>
      <w:r w:rsidR="00E77064">
        <w:rPr>
          <w:rFonts w:ascii="Arial" w:hAnsi="Arial" w:cs="Arial"/>
        </w:rPr>
        <w:t xml:space="preserve"> </w:t>
      </w:r>
      <w:r>
        <w:rPr>
          <w:rFonts w:ascii="Arial" w:hAnsi="Arial" w:cs="Arial"/>
        </w:rPr>
        <w:t>sector will drive and support private recor</w:t>
      </w:r>
      <w:r w:rsidR="006F2696">
        <w:rPr>
          <w:rFonts w:ascii="Arial" w:hAnsi="Arial" w:cs="Arial"/>
        </w:rPr>
        <w:t xml:space="preserve">ds acquisition policy for </w:t>
      </w:r>
      <w:r w:rsidR="007103B0">
        <w:rPr>
          <w:rFonts w:ascii="Arial" w:hAnsi="Arial" w:cs="Arial"/>
        </w:rPr>
        <w:t>l</w:t>
      </w:r>
      <w:r w:rsidR="00E072ED">
        <w:rPr>
          <w:rFonts w:ascii="Arial" w:hAnsi="Arial" w:cs="Arial"/>
        </w:rPr>
        <w:t xml:space="preserve">abour </w:t>
      </w:r>
      <w:r>
        <w:rPr>
          <w:rFonts w:ascii="Arial" w:hAnsi="Arial" w:cs="Arial"/>
        </w:rPr>
        <w:t xml:space="preserve">sector records in the </w:t>
      </w:r>
      <w:r w:rsidRPr="009379CB">
        <w:rPr>
          <w:rFonts w:ascii="Arial" w:hAnsi="Arial" w:cs="Arial"/>
          <w:i/>
        </w:rPr>
        <w:t>Archives of Ontario Private Acquisitions Strategy</w:t>
      </w:r>
      <w:r>
        <w:rPr>
          <w:rFonts w:ascii="Arial" w:hAnsi="Arial" w:cs="Arial"/>
        </w:rPr>
        <w:t>.</w:t>
      </w:r>
      <w:bookmarkStart w:id="5" w:name="_Toc467489233"/>
    </w:p>
    <w:p w:rsidR="002B4296" w:rsidRPr="00156D85" w:rsidRDefault="00483AA9" w:rsidP="00156D85">
      <w:pPr>
        <w:pStyle w:val="Heading1"/>
      </w:pPr>
      <w:r w:rsidRPr="00156D85">
        <w:t xml:space="preserve">2. </w:t>
      </w:r>
      <w:r w:rsidR="00AA3B8F" w:rsidRPr="00156D85">
        <w:t xml:space="preserve">Overview of the </w:t>
      </w:r>
      <w:r w:rsidR="00E072ED" w:rsidRPr="00156D85">
        <w:t>Labour</w:t>
      </w:r>
      <w:r w:rsidR="00AA5AE7" w:rsidRPr="00156D85">
        <w:t xml:space="preserve"> Sector in Ontario</w:t>
      </w:r>
      <w:bookmarkEnd w:id="5"/>
    </w:p>
    <w:p w:rsidR="007A2BB1" w:rsidRDefault="00156D85" w:rsidP="00E072ED">
      <w:pPr>
        <w:rPr>
          <w:rFonts w:ascii="Arial" w:hAnsi="Arial" w:cs="Arial"/>
        </w:rPr>
      </w:pPr>
      <w:r>
        <w:rPr>
          <w:rFonts w:ascii="Arial" w:hAnsi="Arial" w:cs="Arial"/>
        </w:rPr>
        <w:t xml:space="preserve"> </w:t>
      </w:r>
      <w:r w:rsidR="00F87A5F">
        <w:rPr>
          <w:rFonts w:ascii="Arial" w:hAnsi="Arial" w:cs="Arial"/>
        </w:rPr>
        <w:t>Labour issues have</w:t>
      </w:r>
      <w:r w:rsidR="008B0337">
        <w:rPr>
          <w:rFonts w:ascii="Arial" w:hAnsi="Arial" w:cs="Arial"/>
        </w:rPr>
        <w:t xml:space="preserve"> long</w:t>
      </w:r>
      <w:r w:rsidR="00F87A5F">
        <w:rPr>
          <w:rFonts w:ascii="Arial" w:hAnsi="Arial" w:cs="Arial"/>
        </w:rPr>
        <w:t xml:space="preserve"> been a concern of Ontario citizens </w:t>
      </w:r>
      <w:r w:rsidR="008B0337">
        <w:rPr>
          <w:rFonts w:ascii="Arial" w:hAnsi="Arial" w:cs="Arial"/>
        </w:rPr>
        <w:t xml:space="preserve">and the government of Ontario. </w:t>
      </w:r>
      <w:r w:rsidR="0053588B">
        <w:rPr>
          <w:rFonts w:ascii="Arial" w:hAnsi="Arial" w:cs="Arial"/>
        </w:rPr>
        <w:t>Many of the rights pertaining to workers</w:t>
      </w:r>
      <w:r w:rsidR="00A60ED9">
        <w:rPr>
          <w:rFonts w:ascii="Arial" w:hAnsi="Arial" w:cs="Arial"/>
        </w:rPr>
        <w:t xml:space="preserve">, such as shorter work days, vacation time, minimum wage, workplace health and safety protections, and workers’ compensation </w:t>
      </w:r>
      <w:r w:rsidR="0053588B">
        <w:rPr>
          <w:rFonts w:ascii="Arial" w:hAnsi="Arial" w:cs="Arial"/>
        </w:rPr>
        <w:t xml:space="preserve">were </w:t>
      </w:r>
      <w:r w:rsidR="00A60ED9">
        <w:rPr>
          <w:rFonts w:ascii="Arial" w:hAnsi="Arial" w:cs="Arial"/>
        </w:rPr>
        <w:t>the result of long struggles between workers, their employers, and the provincial government.</w:t>
      </w:r>
    </w:p>
    <w:p w:rsidR="00156D85" w:rsidRDefault="00156D85" w:rsidP="00E072ED">
      <w:pPr>
        <w:rPr>
          <w:rFonts w:ascii="Arial" w:hAnsi="Arial" w:cs="Arial"/>
        </w:rPr>
      </w:pPr>
    </w:p>
    <w:p w:rsidR="002B4296" w:rsidRDefault="0053588B" w:rsidP="00E072ED">
      <w:pPr>
        <w:rPr>
          <w:rFonts w:ascii="Arial" w:hAnsi="Arial" w:cs="Arial"/>
        </w:rPr>
      </w:pPr>
      <w:r>
        <w:rPr>
          <w:rFonts w:ascii="Arial" w:hAnsi="Arial" w:cs="Arial"/>
        </w:rPr>
        <w:t>Although labour unions have existed in Ontario since at least 1834,</w:t>
      </w:r>
      <w:r w:rsidR="00A60ED9">
        <w:rPr>
          <w:rStyle w:val="FootnoteReference"/>
          <w:rFonts w:ascii="Arial" w:hAnsi="Arial" w:cs="Arial"/>
        </w:rPr>
        <w:footnoteReference w:id="1"/>
      </w:r>
      <w:r>
        <w:rPr>
          <w:rFonts w:ascii="Arial" w:hAnsi="Arial" w:cs="Arial"/>
        </w:rPr>
        <w:t xml:space="preserve"> until the passing of the</w:t>
      </w:r>
      <w:r w:rsidR="00F8512C">
        <w:rPr>
          <w:rFonts w:ascii="Arial" w:hAnsi="Arial" w:cs="Arial"/>
        </w:rPr>
        <w:t xml:space="preserve"> federal</w:t>
      </w:r>
      <w:r>
        <w:rPr>
          <w:rFonts w:ascii="Arial" w:hAnsi="Arial" w:cs="Arial"/>
        </w:rPr>
        <w:t xml:space="preserve"> Trade Unions Act in 1872, prompted by </w:t>
      </w:r>
      <w:r w:rsidR="00AA4E09">
        <w:rPr>
          <w:rFonts w:ascii="Arial" w:hAnsi="Arial" w:cs="Arial"/>
        </w:rPr>
        <w:t>a</w:t>
      </w:r>
      <w:r>
        <w:rPr>
          <w:rFonts w:ascii="Arial" w:hAnsi="Arial" w:cs="Arial"/>
        </w:rPr>
        <w:t xml:space="preserve"> Toronto Typographical Union strike</w:t>
      </w:r>
      <w:r w:rsidR="00AD4145">
        <w:rPr>
          <w:rFonts w:ascii="Arial" w:hAnsi="Arial" w:cs="Arial"/>
        </w:rPr>
        <w:t xml:space="preserve"> for a nine hour day</w:t>
      </w:r>
      <w:r>
        <w:rPr>
          <w:rFonts w:ascii="Arial" w:hAnsi="Arial" w:cs="Arial"/>
        </w:rPr>
        <w:t xml:space="preserve">, unions in </w:t>
      </w:r>
      <w:r w:rsidR="00A60ED9">
        <w:rPr>
          <w:rFonts w:ascii="Arial" w:hAnsi="Arial" w:cs="Arial"/>
        </w:rPr>
        <w:t>Ontario</w:t>
      </w:r>
      <w:r>
        <w:rPr>
          <w:rFonts w:ascii="Arial" w:hAnsi="Arial" w:cs="Arial"/>
        </w:rPr>
        <w:t xml:space="preserve"> operated illegally.</w:t>
      </w:r>
      <w:r w:rsidR="00A60ED9">
        <w:rPr>
          <w:rStyle w:val="FootnoteReference"/>
          <w:rFonts w:ascii="Arial" w:hAnsi="Arial" w:cs="Arial"/>
        </w:rPr>
        <w:footnoteReference w:id="2"/>
      </w:r>
      <w:r w:rsidR="00744913">
        <w:rPr>
          <w:rFonts w:ascii="Arial" w:hAnsi="Arial" w:cs="Arial"/>
        </w:rPr>
        <w:t xml:space="preserve"> Despite this, workers </w:t>
      </w:r>
      <w:r w:rsidR="00A86682">
        <w:rPr>
          <w:rFonts w:ascii="Arial" w:hAnsi="Arial" w:cs="Arial"/>
        </w:rPr>
        <w:t>organized and fought for improved working conditions on many occasions</w:t>
      </w:r>
      <w:r w:rsidR="0091730B">
        <w:rPr>
          <w:rFonts w:ascii="Arial" w:hAnsi="Arial" w:cs="Arial"/>
        </w:rPr>
        <w:t xml:space="preserve">, </w:t>
      </w:r>
      <w:r w:rsidR="006105A4">
        <w:rPr>
          <w:rFonts w:ascii="Arial" w:hAnsi="Arial" w:cs="Arial"/>
        </w:rPr>
        <w:t>one</w:t>
      </w:r>
      <w:r w:rsidR="0091730B">
        <w:rPr>
          <w:rFonts w:ascii="Arial" w:hAnsi="Arial" w:cs="Arial"/>
        </w:rPr>
        <w:t xml:space="preserve"> prominent example being the violent strikes by workers on the </w:t>
      </w:r>
      <w:proofErr w:type="spellStart"/>
      <w:r w:rsidR="0091730B">
        <w:rPr>
          <w:rFonts w:ascii="Arial" w:hAnsi="Arial" w:cs="Arial"/>
        </w:rPr>
        <w:t>Welland</w:t>
      </w:r>
      <w:proofErr w:type="spellEnd"/>
      <w:r w:rsidR="0091730B">
        <w:rPr>
          <w:rFonts w:ascii="Arial" w:hAnsi="Arial" w:cs="Arial"/>
        </w:rPr>
        <w:t xml:space="preserve"> Canal </w:t>
      </w:r>
      <w:r w:rsidR="006105A4">
        <w:rPr>
          <w:rFonts w:ascii="Arial" w:hAnsi="Arial" w:cs="Arial"/>
        </w:rPr>
        <w:t>during</w:t>
      </w:r>
      <w:r w:rsidR="0091730B">
        <w:rPr>
          <w:rFonts w:ascii="Arial" w:hAnsi="Arial" w:cs="Arial"/>
        </w:rPr>
        <w:t xml:space="preserve"> the 1840’s.</w:t>
      </w:r>
      <w:r w:rsidR="00B4010F">
        <w:rPr>
          <w:rStyle w:val="FootnoteReference"/>
          <w:rFonts w:ascii="Arial" w:hAnsi="Arial" w:cs="Arial"/>
        </w:rPr>
        <w:footnoteReference w:id="3"/>
      </w:r>
    </w:p>
    <w:p w:rsidR="002B4296" w:rsidRDefault="002B4296" w:rsidP="00E072ED">
      <w:pPr>
        <w:rPr>
          <w:rFonts w:ascii="Arial" w:hAnsi="Arial" w:cs="Arial"/>
        </w:rPr>
      </w:pPr>
    </w:p>
    <w:p w:rsidR="00D0733B" w:rsidRDefault="00EA74F3" w:rsidP="00E072ED">
      <w:pPr>
        <w:rPr>
          <w:rFonts w:ascii="Arial" w:hAnsi="Arial" w:cs="Arial"/>
        </w:rPr>
      </w:pPr>
      <w:r>
        <w:rPr>
          <w:rFonts w:ascii="Arial" w:hAnsi="Arial" w:cs="Arial"/>
        </w:rPr>
        <w:t>In 1914, the Ontario government passed the Workers’ Compensation Act, becoming the first province to implement a</w:t>
      </w:r>
      <w:r w:rsidR="006105A4">
        <w:rPr>
          <w:rFonts w:ascii="Arial" w:hAnsi="Arial" w:cs="Arial"/>
        </w:rPr>
        <w:t xml:space="preserve"> provincial social service plan</w:t>
      </w:r>
      <w:r>
        <w:rPr>
          <w:rFonts w:ascii="Arial" w:hAnsi="Arial" w:cs="Arial"/>
        </w:rPr>
        <w:t>.</w:t>
      </w:r>
      <w:r w:rsidR="00AD4145">
        <w:rPr>
          <w:rStyle w:val="FootnoteReference"/>
          <w:rFonts w:ascii="Arial" w:hAnsi="Arial" w:cs="Arial"/>
        </w:rPr>
        <w:footnoteReference w:id="4"/>
      </w:r>
      <w:r w:rsidR="006105A4">
        <w:rPr>
          <w:rFonts w:ascii="Arial" w:hAnsi="Arial" w:cs="Arial"/>
        </w:rPr>
        <w:t xml:space="preserve"> </w:t>
      </w:r>
      <w:r w:rsidR="00F8512C">
        <w:rPr>
          <w:rFonts w:ascii="Arial" w:hAnsi="Arial" w:cs="Arial"/>
        </w:rPr>
        <w:t xml:space="preserve">Despite advances, conditions for workers </w:t>
      </w:r>
      <w:r w:rsidR="008161F1">
        <w:rPr>
          <w:rFonts w:ascii="Arial" w:hAnsi="Arial" w:cs="Arial"/>
        </w:rPr>
        <w:t>remained</w:t>
      </w:r>
      <w:r w:rsidR="00F8512C">
        <w:rPr>
          <w:rFonts w:ascii="Arial" w:hAnsi="Arial" w:cs="Arial"/>
        </w:rPr>
        <w:t xml:space="preserve"> unsatisfactory. </w:t>
      </w:r>
      <w:r w:rsidR="00AD4145">
        <w:rPr>
          <w:rFonts w:ascii="Arial" w:hAnsi="Arial" w:cs="Arial"/>
        </w:rPr>
        <w:t>During and after World War I, labour unions saw a marked increase</w:t>
      </w:r>
      <w:r w:rsidR="00F8512C">
        <w:rPr>
          <w:rFonts w:ascii="Arial" w:hAnsi="Arial" w:cs="Arial"/>
        </w:rPr>
        <w:t xml:space="preserve"> in membership and </w:t>
      </w:r>
      <w:r w:rsidR="00F8512C">
        <w:rPr>
          <w:rFonts w:ascii="Arial" w:hAnsi="Arial" w:cs="Arial"/>
        </w:rPr>
        <w:lastRenderedPageBreak/>
        <w:t xml:space="preserve">frequency of strikes. In 1919 there were over 400 strikes in Canada, with a significantly large </w:t>
      </w:r>
      <w:r w:rsidR="006105A4">
        <w:rPr>
          <w:rFonts w:ascii="Arial" w:hAnsi="Arial" w:cs="Arial"/>
        </w:rPr>
        <w:t>number taking place in Ontario.</w:t>
      </w:r>
      <w:r w:rsidR="006105A4">
        <w:rPr>
          <w:rStyle w:val="FootnoteReference"/>
          <w:rFonts w:ascii="Arial" w:hAnsi="Arial" w:cs="Arial"/>
        </w:rPr>
        <w:footnoteReference w:id="5"/>
      </w:r>
    </w:p>
    <w:p w:rsidR="006105A4" w:rsidRDefault="006105A4" w:rsidP="00E072ED">
      <w:pPr>
        <w:rPr>
          <w:rFonts w:ascii="Arial" w:hAnsi="Arial" w:cs="Arial"/>
        </w:rPr>
      </w:pPr>
    </w:p>
    <w:p w:rsidR="001A34F2" w:rsidRDefault="001A34F2" w:rsidP="00E072ED">
      <w:pPr>
        <w:rPr>
          <w:rFonts w:ascii="Arial" w:hAnsi="Arial" w:cs="Arial"/>
        </w:rPr>
      </w:pPr>
      <w:r>
        <w:rPr>
          <w:rFonts w:ascii="Arial" w:hAnsi="Arial" w:cs="Arial"/>
        </w:rPr>
        <w:t>In 1944, Ontario’s first provincial labour federation was formed when the Canadian</w:t>
      </w:r>
      <w:r w:rsidR="00FD6858">
        <w:rPr>
          <w:rFonts w:ascii="Arial" w:hAnsi="Arial" w:cs="Arial"/>
        </w:rPr>
        <w:t xml:space="preserve"> Congress of Labour</w:t>
      </w:r>
      <w:r w:rsidR="009E077C">
        <w:rPr>
          <w:rFonts w:ascii="Arial" w:hAnsi="Arial" w:cs="Arial"/>
        </w:rPr>
        <w:t xml:space="preserve"> established the Ontario Federation of Labour.</w:t>
      </w:r>
      <w:r w:rsidR="009E077C">
        <w:rPr>
          <w:rStyle w:val="FootnoteReference"/>
          <w:rFonts w:ascii="Arial" w:hAnsi="Arial" w:cs="Arial"/>
        </w:rPr>
        <w:footnoteReference w:id="6"/>
      </w:r>
      <w:r w:rsidR="00772B1D">
        <w:rPr>
          <w:rFonts w:ascii="Arial" w:hAnsi="Arial" w:cs="Arial"/>
        </w:rPr>
        <w:t xml:space="preserve"> </w:t>
      </w:r>
      <w:r w:rsidR="008655ED">
        <w:rPr>
          <w:rFonts w:ascii="Arial" w:hAnsi="Arial" w:cs="Arial"/>
        </w:rPr>
        <w:t>Soon after,</w:t>
      </w:r>
      <w:r w:rsidR="006105A4">
        <w:rPr>
          <w:rFonts w:ascii="Arial" w:hAnsi="Arial" w:cs="Arial"/>
        </w:rPr>
        <w:t xml:space="preserve"> in 1945,</w:t>
      </w:r>
      <w:r w:rsidR="008655ED">
        <w:rPr>
          <w:rFonts w:ascii="Arial" w:hAnsi="Arial" w:cs="Arial"/>
        </w:rPr>
        <w:t xml:space="preserve"> </w:t>
      </w:r>
      <w:r w:rsidR="006105A4">
        <w:rPr>
          <w:rFonts w:ascii="Arial" w:hAnsi="Arial" w:cs="Arial"/>
        </w:rPr>
        <w:t xml:space="preserve">an arbitration decision for </w:t>
      </w:r>
      <w:r w:rsidR="008655ED">
        <w:rPr>
          <w:rFonts w:ascii="Arial" w:hAnsi="Arial" w:cs="Arial"/>
        </w:rPr>
        <w:t>a</w:t>
      </w:r>
      <w:r w:rsidR="00C950E5">
        <w:rPr>
          <w:rFonts w:ascii="Arial" w:hAnsi="Arial" w:cs="Arial"/>
        </w:rPr>
        <w:t xml:space="preserve"> 99 day strike by Ford Company workers in Windsor resulted in the</w:t>
      </w:r>
      <w:r w:rsidR="006105A4">
        <w:rPr>
          <w:rFonts w:ascii="Arial" w:hAnsi="Arial" w:cs="Arial"/>
        </w:rPr>
        <w:t xml:space="preserve"> creation of the</w:t>
      </w:r>
      <w:r w:rsidR="00C950E5">
        <w:rPr>
          <w:rFonts w:ascii="Arial" w:hAnsi="Arial" w:cs="Arial"/>
        </w:rPr>
        <w:t xml:space="preserve"> Rand Formula, which helped give </w:t>
      </w:r>
      <w:r w:rsidR="00744913">
        <w:rPr>
          <w:rFonts w:ascii="Arial" w:hAnsi="Arial" w:cs="Arial"/>
        </w:rPr>
        <w:t xml:space="preserve">labour </w:t>
      </w:r>
      <w:r w:rsidR="00C950E5">
        <w:rPr>
          <w:rFonts w:ascii="Arial" w:hAnsi="Arial" w:cs="Arial"/>
        </w:rPr>
        <w:t xml:space="preserve">unions </w:t>
      </w:r>
      <w:r w:rsidR="008655ED">
        <w:rPr>
          <w:rFonts w:ascii="Arial" w:hAnsi="Arial" w:cs="Arial"/>
        </w:rPr>
        <w:t xml:space="preserve">financial </w:t>
      </w:r>
      <w:r w:rsidR="00C950E5">
        <w:rPr>
          <w:rFonts w:ascii="Arial" w:hAnsi="Arial" w:cs="Arial"/>
        </w:rPr>
        <w:t xml:space="preserve">security by </w:t>
      </w:r>
      <w:r w:rsidR="008655ED">
        <w:rPr>
          <w:rFonts w:ascii="Arial" w:hAnsi="Arial" w:cs="Arial"/>
        </w:rPr>
        <w:t>ruling that union dues be mandatory in workplaces with collective bargaining units.</w:t>
      </w:r>
      <w:r w:rsidR="008655ED">
        <w:rPr>
          <w:rStyle w:val="FootnoteReference"/>
          <w:rFonts w:ascii="Arial" w:hAnsi="Arial" w:cs="Arial"/>
        </w:rPr>
        <w:footnoteReference w:id="7"/>
      </w:r>
      <w:r w:rsidR="008655ED">
        <w:rPr>
          <w:rFonts w:ascii="Arial" w:hAnsi="Arial" w:cs="Arial"/>
        </w:rPr>
        <w:t xml:space="preserve"> However,</w:t>
      </w:r>
      <w:r w:rsidR="00851C29">
        <w:rPr>
          <w:rFonts w:ascii="Arial" w:hAnsi="Arial" w:cs="Arial"/>
        </w:rPr>
        <w:t xml:space="preserve"> amendments to the Ontario Labour Relations Act making the Rand Formula compulsory were not enacted until</w:t>
      </w:r>
      <w:r w:rsidR="00D2424F">
        <w:rPr>
          <w:rFonts w:ascii="Arial" w:hAnsi="Arial" w:cs="Arial"/>
        </w:rPr>
        <w:t xml:space="preserve"> 1978 when</w:t>
      </w:r>
      <w:r w:rsidR="00851C29">
        <w:rPr>
          <w:rFonts w:ascii="Arial" w:hAnsi="Arial" w:cs="Arial"/>
        </w:rPr>
        <w:t xml:space="preserve"> </w:t>
      </w:r>
      <w:r w:rsidR="00D2424F">
        <w:rPr>
          <w:rFonts w:ascii="Arial" w:hAnsi="Arial" w:cs="Arial"/>
        </w:rPr>
        <w:t xml:space="preserve">a 163 day strike </w:t>
      </w:r>
      <w:r w:rsidR="00851C29">
        <w:rPr>
          <w:rFonts w:ascii="Arial" w:hAnsi="Arial" w:cs="Arial"/>
        </w:rPr>
        <w:t>by 80 women workers at the Fleck plant in Centralia, Ontario, resulted in the changes.</w:t>
      </w:r>
      <w:r w:rsidR="00851C29">
        <w:rPr>
          <w:rStyle w:val="FootnoteReference"/>
          <w:rFonts w:ascii="Arial" w:hAnsi="Arial" w:cs="Arial"/>
        </w:rPr>
        <w:footnoteReference w:id="8"/>
      </w:r>
    </w:p>
    <w:p w:rsidR="00D2424F" w:rsidRDefault="00D2424F" w:rsidP="00E072ED">
      <w:pPr>
        <w:rPr>
          <w:rFonts w:ascii="Arial" w:hAnsi="Arial" w:cs="Arial"/>
        </w:rPr>
      </w:pPr>
    </w:p>
    <w:p w:rsidR="00EF1A3A" w:rsidRDefault="00DE1CC2" w:rsidP="00E072ED">
      <w:pPr>
        <w:rPr>
          <w:rFonts w:ascii="Arial" w:hAnsi="Arial" w:cs="Arial"/>
        </w:rPr>
      </w:pPr>
      <w:r>
        <w:rPr>
          <w:rFonts w:ascii="Arial" w:hAnsi="Arial" w:cs="Arial"/>
        </w:rPr>
        <w:t>The 1970</w:t>
      </w:r>
      <w:r w:rsidR="007C296D">
        <w:rPr>
          <w:rFonts w:ascii="Arial" w:hAnsi="Arial" w:cs="Arial"/>
        </w:rPr>
        <w:t>’</w:t>
      </w:r>
      <w:r>
        <w:rPr>
          <w:rFonts w:ascii="Arial" w:hAnsi="Arial" w:cs="Arial"/>
        </w:rPr>
        <w:t xml:space="preserve">s also saw a massive increase in public sector union membership, and improvements in job safety </w:t>
      </w:r>
      <w:r w:rsidR="00AA4E09">
        <w:rPr>
          <w:rFonts w:ascii="Arial" w:hAnsi="Arial" w:cs="Arial"/>
        </w:rPr>
        <w:t xml:space="preserve">came </w:t>
      </w:r>
      <w:r>
        <w:rPr>
          <w:rFonts w:ascii="Arial" w:hAnsi="Arial" w:cs="Arial"/>
        </w:rPr>
        <w:t xml:space="preserve">with the introduction of the Occupational Health and Safety Act. </w:t>
      </w:r>
      <w:r w:rsidR="005C6448">
        <w:rPr>
          <w:rFonts w:ascii="Arial" w:hAnsi="Arial" w:cs="Arial"/>
        </w:rPr>
        <w:t xml:space="preserve">More </w:t>
      </w:r>
      <w:proofErr w:type="gramStart"/>
      <w:r w:rsidR="005C6448">
        <w:rPr>
          <w:rFonts w:ascii="Arial" w:hAnsi="Arial" w:cs="Arial"/>
        </w:rPr>
        <w:t>advancements</w:t>
      </w:r>
      <w:proofErr w:type="gramEnd"/>
      <w:r w:rsidR="005C6448">
        <w:rPr>
          <w:rFonts w:ascii="Arial" w:hAnsi="Arial" w:cs="Arial"/>
        </w:rPr>
        <w:t xml:space="preserve"> were made in the 1980</w:t>
      </w:r>
      <w:r w:rsidR="007C296D">
        <w:rPr>
          <w:rFonts w:ascii="Arial" w:hAnsi="Arial" w:cs="Arial"/>
        </w:rPr>
        <w:t>’</w:t>
      </w:r>
      <w:r w:rsidR="005C6448">
        <w:rPr>
          <w:rFonts w:ascii="Arial" w:hAnsi="Arial" w:cs="Arial"/>
        </w:rPr>
        <w:t xml:space="preserve">s with </w:t>
      </w:r>
      <w:r w:rsidR="00C91542">
        <w:rPr>
          <w:rFonts w:ascii="Arial" w:hAnsi="Arial" w:cs="Arial"/>
        </w:rPr>
        <w:t>amendments</w:t>
      </w:r>
      <w:r w:rsidR="005C6448">
        <w:rPr>
          <w:rFonts w:ascii="Arial" w:hAnsi="Arial" w:cs="Arial"/>
        </w:rPr>
        <w:t xml:space="preserve"> to the Workers’ Compensation Act,</w:t>
      </w:r>
      <w:r w:rsidR="00D0733B">
        <w:rPr>
          <w:rFonts w:ascii="Arial" w:hAnsi="Arial" w:cs="Arial"/>
        </w:rPr>
        <w:t xml:space="preserve"> and </w:t>
      </w:r>
      <w:r w:rsidR="005C6448">
        <w:rPr>
          <w:rFonts w:ascii="Arial" w:hAnsi="Arial" w:cs="Arial"/>
        </w:rPr>
        <w:t>the establishment of the Workers’ Compe</w:t>
      </w:r>
      <w:r w:rsidR="00D0733B">
        <w:rPr>
          <w:rFonts w:ascii="Arial" w:hAnsi="Arial" w:cs="Arial"/>
        </w:rPr>
        <w:t>nsation Appeals Tribunal (WCAT)</w:t>
      </w:r>
      <w:r w:rsidR="005C6448">
        <w:rPr>
          <w:rFonts w:ascii="Arial" w:hAnsi="Arial" w:cs="Arial"/>
        </w:rPr>
        <w:t xml:space="preserve"> and the Office of the Worker Advisor.</w:t>
      </w:r>
      <w:r w:rsidR="005C6448">
        <w:rPr>
          <w:rStyle w:val="FootnoteReference"/>
          <w:rFonts w:ascii="Arial" w:hAnsi="Arial" w:cs="Arial"/>
        </w:rPr>
        <w:footnoteReference w:id="9"/>
      </w:r>
      <w:r w:rsidR="005C6448">
        <w:rPr>
          <w:rFonts w:ascii="Arial" w:hAnsi="Arial" w:cs="Arial"/>
        </w:rPr>
        <w:t xml:space="preserve"> </w:t>
      </w:r>
    </w:p>
    <w:p w:rsidR="00EF1A3A" w:rsidRDefault="00EF1A3A" w:rsidP="00E072ED">
      <w:pPr>
        <w:rPr>
          <w:rFonts w:ascii="Arial" w:hAnsi="Arial" w:cs="Arial"/>
        </w:rPr>
      </w:pPr>
    </w:p>
    <w:p w:rsidR="00EF1A3A" w:rsidRDefault="00E01AF0" w:rsidP="00E072ED">
      <w:pPr>
        <w:rPr>
          <w:rFonts w:ascii="Arial" w:hAnsi="Arial" w:cs="Arial"/>
        </w:rPr>
      </w:pPr>
      <w:r>
        <w:rPr>
          <w:rFonts w:ascii="Arial" w:hAnsi="Arial" w:cs="Arial"/>
        </w:rPr>
        <w:t>1993</w:t>
      </w:r>
      <w:r w:rsidR="00EF1A3A">
        <w:rPr>
          <w:rFonts w:ascii="Arial" w:hAnsi="Arial" w:cs="Arial"/>
        </w:rPr>
        <w:t xml:space="preserve"> saw the introduction of Bill 40 by the NDP, which </w:t>
      </w:r>
      <w:r>
        <w:rPr>
          <w:rFonts w:ascii="Arial" w:hAnsi="Arial" w:cs="Arial"/>
        </w:rPr>
        <w:t>made</w:t>
      </w:r>
      <w:r w:rsidR="00EF1A3A">
        <w:rPr>
          <w:rFonts w:ascii="Arial" w:hAnsi="Arial" w:cs="Arial"/>
        </w:rPr>
        <w:t xml:space="preserve"> significant improvements to labour legislation; however</w:t>
      </w:r>
      <w:r w:rsidR="00744913">
        <w:rPr>
          <w:rFonts w:ascii="Arial" w:hAnsi="Arial" w:cs="Arial"/>
        </w:rPr>
        <w:t>,</w:t>
      </w:r>
      <w:r w:rsidR="00EF1A3A">
        <w:rPr>
          <w:rFonts w:ascii="Arial" w:hAnsi="Arial" w:cs="Arial"/>
        </w:rPr>
        <w:t xml:space="preserve"> most of the</w:t>
      </w:r>
      <w:r>
        <w:rPr>
          <w:rFonts w:ascii="Arial" w:hAnsi="Arial" w:cs="Arial"/>
        </w:rPr>
        <w:t>se</w:t>
      </w:r>
      <w:r w:rsidR="00EF1A3A">
        <w:rPr>
          <w:rFonts w:ascii="Arial" w:hAnsi="Arial" w:cs="Arial"/>
        </w:rPr>
        <w:t xml:space="preserve"> advancements were repealed </w:t>
      </w:r>
      <w:r>
        <w:rPr>
          <w:rFonts w:ascii="Arial" w:hAnsi="Arial" w:cs="Arial"/>
        </w:rPr>
        <w:t>in 1995</w:t>
      </w:r>
      <w:r w:rsidR="00EF1A3A">
        <w:rPr>
          <w:rFonts w:ascii="Arial" w:hAnsi="Arial" w:cs="Arial"/>
        </w:rPr>
        <w:t xml:space="preserve"> by the Harris government</w:t>
      </w:r>
      <w:r>
        <w:rPr>
          <w:rFonts w:ascii="Arial" w:hAnsi="Arial" w:cs="Arial"/>
        </w:rPr>
        <w:t>’s Bill 7.</w:t>
      </w:r>
      <w:r>
        <w:rPr>
          <w:rStyle w:val="FootnoteReference"/>
          <w:rFonts w:ascii="Arial" w:hAnsi="Arial" w:cs="Arial"/>
        </w:rPr>
        <w:footnoteReference w:id="10"/>
      </w:r>
      <w:r>
        <w:rPr>
          <w:rFonts w:ascii="Arial" w:hAnsi="Arial" w:cs="Arial"/>
        </w:rPr>
        <w:t xml:space="preserve"> The Harris government’s attack on labour</w:t>
      </w:r>
      <w:r w:rsidR="00792C79">
        <w:rPr>
          <w:rFonts w:ascii="Arial" w:hAnsi="Arial" w:cs="Arial"/>
        </w:rPr>
        <w:t xml:space="preserve"> and cuts to social services</w:t>
      </w:r>
      <w:r>
        <w:rPr>
          <w:rFonts w:ascii="Arial" w:hAnsi="Arial" w:cs="Arial"/>
        </w:rPr>
        <w:t xml:space="preserve"> sparked the Days of Action protests, which lasted from 1995 to 1998, bringing </w:t>
      </w:r>
      <w:r w:rsidR="00AA4E09">
        <w:rPr>
          <w:rFonts w:ascii="Arial" w:hAnsi="Arial" w:cs="Arial"/>
        </w:rPr>
        <w:t>to the streets</w:t>
      </w:r>
      <w:r>
        <w:rPr>
          <w:rFonts w:ascii="Arial" w:hAnsi="Arial" w:cs="Arial"/>
        </w:rPr>
        <w:t xml:space="preserve"> over a million people across the province to </w:t>
      </w:r>
      <w:r w:rsidR="00792C79">
        <w:rPr>
          <w:rFonts w:ascii="Arial" w:hAnsi="Arial" w:cs="Arial"/>
        </w:rPr>
        <w:t xml:space="preserve">protest </w:t>
      </w:r>
      <w:r w:rsidR="00451F7B">
        <w:rPr>
          <w:rFonts w:ascii="Arial" w:hAnsi="Arial" w:cs="Arial"/>
        </w:rPr>
        <w:t>PC party</w:t>
      </w:r>
      <w:r w:rsidR="00792C79">
        <w:rPr>
          <w:rFonts w:ascii="Arial" w:hAnsi="Arial" w:cs="Arial"/>
        </w:rPr>
        <w:t xml:space="preserve"> policies.</w:t>
      </w:r>
      <w:r w:rsidR="00613B4B">
        <w:rPr>
          <w:rStyle w:val="FootnoteReference"/>
          <w:rFonts w:ascii="Arial" w:hAnsi="Arial" w:cs="Arial"/>
        </w:rPr>
        <w:footnoteReference w:id="11"/>
      </w:r>
    </w:p>
    <w:p w:rsidR="00EF1A3A" w:rsidRDefault="00EF1A3A" w:rsidP="00E072ED">
      <w:pPr>
        <w:rPr>
          <w:rFonts w:ascii="Arial" w:hAnsi="Arial" w:cs="Arial"/>
        </w:rPr>
      </w:pPr>
    </w:p>
    <w:p w:rsidR="00C91542" w:rsidRDefault="00C91542" w:rsidP="00E072ED">
      <w:pPr>
        <w:rPr>
          <w:rFonts w:ascii="Arial" w:hAnsi="Arial" w:cs="Arial"/>
        </w:rPr>
      </w:pPr>
      <w:r>
        <w:rPr>
          <w:rFonts w:ascii="Arial" w:hAnsi="Arial" w:cs="Arial"/>
        </w:rPr>
        <w:t>Much of the 2000</w:t>
      </w:r>
      <w:r w:rsidR="007C296D">
        <w:rPr>
          <w:rFonts w:ascii="Arial" w:hAnsi="Arial" w:cs="Arial"/>
        </w:rPr>
        <w:t>’</w:t>
      </w:r>
      <w:r>
        <w:rPr>
          <w:rFonts w:ascii="Arial" w:hAnsi="Arial" w:cs="Arial"/>
        </w:rPr>
        <w:t>s saw organized labour attempting to recoup the losses suffered under Harris</w:t>
      </w:r>
      <w:r w:rsidR="007C296D">
        <w:rPr>
          <w:rFonts w:ascii="Arial" w:hAnsi="Arial" w:cs="Arial"/>
        </w:rPr>
        <w:t xml:space="preserve">. Major </w:t>
      </w:r>
      <w:r>
        <w:rPr>
          <w:rFonts w:ascii="Arial" w:hAnsi="Arial" w:cs="Arial"/>
        </w:rPr>
        <w:t xml:space="preserve">issues </w:t>
      </w:r>
      <w:r w:rsidR="007C296D">
        <w:rPr>
          <w:rFonts w:ascii="Arial" w:hAnsi="Arial" w:cs="Arial"/>
        </w:rPr>
        <w:t>were</w:t>
      </w:r>
      <w:r>
        <w:rPr>
          <w:rFonts w:ascii="Arial" w:hAnsi="Arial" w:cs="Arial"/>
        </w:rPr>
        <w:t xml:space="preserve"> job losses in the manufacturing sector</w:t>
      </w:r>
      <w:r w:rsidR="00AA4E09">
        <w:rPr>
          <w:rFonts w:ascii="Arial" w:hAnsi="Arial" w:cs="Arial"/>
        </w:rPr>
        <w:t>;</w:t>
      </w:r>
      <w:r>
        <w:rPr>
          <w:rFonts w:ascii="Arial" w:hAnsi="Arial" w:cs="Arial"/>
        </w:rPr>
        <w:t xml:space="preserve"> privatization</w:t>
      </w:r>
      <w:r w:rsidR="00AA4E09">
        <w:rPr>
          <w:rFonts w:ascii="Arial" w:hAnsi="Arial" w:cs="Arial"/>
        </w:rPr>
        <w:t>;</w:t>
      </w:r>
      <w:r>
        <w:rPr>
          <w:rFonts w:ascii="Arial" w:hAnsi="Arial" w:cs="Arial"/>
        </w:rPr>
        <w:t xml:space="preserve"> revitalization of the Pay Equity Act</w:t>
      </w:r>
      <w:r w:rsidR="00AA4E09">
        <w:rPr>
          <w:rFonts w:ascii="Arial" w:hAnsi="Arial" w:cs="Arial"/>
        </w:rPr>
        <w:t>;</w:t>
      </w:r>
      <w:r>
        <w:rPr>
          <w:rFonts w:ascii="Arial" w:hAnsi="Arial" w:cs="Arial"/>
        </w:rPr>
        <w:t xml:space="preserve"> raising the minimum wage</w:t>
      </w:r>
      <w:r w:rsidR="00AA4E09">
        <w:rPr>
          <w:rFonts w:ascii="Arial" w:hAnsi="Arial" w:cs="Arial"/>
        </w:rPr>
        <w:t>;</w:t>
      </w:r>
      <w:r>
        <w:rPr>
          <w:rFonts w:ascii="Arial" w:hAnsi="Arial" w:cs="Arial"/>
        </w:rPr>
        <w:t xml:space="preserve"> protections for LGBT workers</w:t>
      </w:r>
      <w:r w:rsidR="00AA4E09">
        <w:rPr>
          <w:rFonts w:ascii="Arial" w:hAnsi="Arial" w:cs="Arial"/>
        </w:rPr>
        <w:t>;</w:t>
      </w:r>
      <w:r>
        <w:rPr>
          <w:rFonts w:ascii="Arial" w:hAnsi="Arial" w:cs="Arial"/>
        </w:rPr>
        <w:t xml:space="preserve"> </w:t>
      </w:r>
      <w:r w:rsidR="007C296D">
        <w:rPr>
          <w:rFonts w:ascii="Arial" w:hAnsi="Arial" w:cs="Arial"/>
        </w:rPr>
        <w:t xml:space="preserve">workers’ </w:t>
      </w:r>
      <w:r>
        <w:rPr>
          <w:rFonts w:ascii="Arial" w:hAnsi="Arial" w:cs="Arial"/>
        </w:rPr>
        <w:t>health and safety</w:t>
      </w:r>
      <w:r w:rsidR="00AA4E09">
        <w:rPr>
          <w:rFonts w:ascii="Arial" w:hAnsi="Arial" w:cs="Arial"/>
        </w:rPr>
        <w:t>;</w:t>
      </w:r>
      <w:r w:rsidR="007C296D">
        <w:rPr>
          <w:rFonts w:ascii="Arial" w:hAnsi="Arial" w:cs="Arial"/>
        </w:rPr>
        <w:t xml:space="preserve"> and the reinstatement of union rights that were repealed </w:t>
      </w:r>
      <w:r w:rsidR="00451F7B">
        <w:rPr>
          <w:rFonts w:ascii="Arial" w:hAnsi="Arial" w:cs="Arial"/>
        </w:rPr>
        <w:t>in the 1990’s</w:t>
      </w:r>
      <w:r w:rsidR="007C296D">
        <w:rPr>
          <w:rFonts w:ascii="Arial" w:hAnsi="Arial" w:cs="Arial"/>
        </w:rPr>
        <w:t>.</w:t>
      </w:r>
      <w:r w:rsidR="007C296D">
        <w:rPr>
          <w:rStyle w:val="FootnoteReference"/>
          <w:rFonts w:ascii="Arial" w:hAnsi="Arial" w:cs="Arial"/>
        </w:rPr>
        <w:footnoteReference w:id="12"/>
      </w:r>
    </w:p>
    <w:p w:rsidR="00D0733B" w:rsidRDefault="00D0733B" w:rsidP="00E072ED">
      <w:pPr>
        <w:rPr>
          <w:rFonts w:ascii="Arial" w:hAnsi="Arial" w:cs="Arial"/>
        </w:rPr>
      </w:pPr>
    </w:p>
    <w:p w:rsidR="00CF5E2F" w:rsidRDefault="00CF5E2F">
      <w:pPr>
        <w:rPr>
          <w:rFonts w:ascii="Arial" w:hAnsi="Arial" w:cs="Arial"/>
        </w:rPr>
      </w:pPr>
      <w:r>
        <w:rPr>
          <w:rFonts w:ascii="Arial" w:hAnsi="Arial" w:cs="Arial"/>
        </w:rPr>
        <w:br w:type="page"/>
      </w:r>
    </w:p>
    <w:p w:rsidR="00CF5E2F" w:rsidRPr="00CF5E2F" w:rsidRDefault="00CF5E2F" w:rsidP="00CF5E2F">
      <w:pPr>
        <w:pStyle w:val="Heading2"/>
        <w:rPr>
          <w:sz w:val="40"/>
          <w:szCs w:val="40"/>
        </w:rPr>
      </w:pPr>
      <w:r w:rsidRPr="00CF5E2F">
        <w:rPr>
          <w:sz w:val="40"/>
          <w:szCs w:val="40"/>
        </w:rPr>
        <w:lastRenderedPageBreak/>
        <w:t>2. Overview of the Labour Sector in Ontario</w:t>
      </w:r>
      <w:r w:rsidRPr="00CF5E2F">
        <w:rPr>
          <w:sz w:val="40"/>
          <w:szCs w:val="40"/>
        </w:rPr>
        <w:t xml:space="preserve"> (continued)</w:t>
      </w:r>
    </w:p>
    <w:p w:rsidR="00E072ED" w:rsidRDefault="007C296D" w:rsidP="00E072ED">
      <w:pPr>
        <w:rPr>
          <w:rFonts w:ascii="Arial" w:hAnsi="Arial" w:cs="Arial"/>
        </w:rPr>
      </w:pPr>
      <w:r>
        <w:rPr>
          <w:rFonts w:ascii="Arial" w:hAnsi="Arial" w:cs="Arial"/>
        </w:rPr>
        <w:t>Currently, the Liberal government under</w:t>
      </w:r>
      <w:r w:rsidR="007203A2">
        <w:rPr>
          <w:rFonts w:ascii="Arial" w:hAnsi="Arial" w:cs="Arial"/>
        </w:rPr>
        <w:t xml:space="preserve"> Premier</w:t>
      </w:r>
      <w:r w:rsidR="00E072ED">
        <w:rPr>
          <w:rFonts w:ascii="Arial" w:hAnsi="Arial" w:cs="Arial"/>
        </w:rPr>
        <w:t xml:space="preserve"> Kathleen Wynne</w:t>
      </w:r>
      <w:r>
        <w:rPr>
          <w:rFonts w:ascii="Arial" w:hAnsi="Arial" w:cs="Arial"/>
        </w:rPr>
        <w:t xml:space="preserve"> has</w:t>
      </w:r>
      <w:r w:rsidR="00E072ED">
        <w:rPr>
          <w:rFonts w:ascii="Arial" w:hAnsi="Arial" w:cs="Arial"/>
        </w:rPr>
        <w:t xml:space="preserve"> promised to investigate what actions the g</w:t>
      </w:r>
      <w:bookmarkStart w:id="6" w:name="_GoBack"/>
      <w:bookmarkEnd w:id="6"/>
      <w:r w:rsidR="00E072ED">
        <w:rPr>
          <w:rFonts w:ascii="Arial" w:hAnsi="Arial" w:cs="Arial"/>
        </w:rPr>
        <w:t>overnment could consider “in the context of our labour and employment law reg</w:t>
      </w:r>
      <w:r w:rsidR="000940A7">
        <w:rPr>
          <w:rFonts w:ascii="Arial" w:hAnsi="Arial" w:cs="Arial"/>
        </w:rPr>
        <w:t>ime to continue to protect workers</w:t>
      </w:r>
      <w:r w:rsidR="00E072ED">
        <w:rPr>
          <w:rFonts w:ascii="Arial" w:hAnsi="Arial" w:cs="Arial"/>
        </w:rPr>
        <w:t xml:space="preserve"> while supporting business in today’s modern economy.”</w:t>
      </w:r>
      <w:r w:rsidR="00E072ED">
        <w:rPr>
          <w:rStyle w:val="FootnoteReference"/>
          <w:rFonts w:ascii="Arial" w:hAnsi="Arial" w:cs="Arial"/>
        </w:rPr>
        <w:footnoteReference w:id="13"/>
      </w:r>
      <w:r w:rsidR="00E072ED">
        <w:rPr>
          <w:rFonts w:ascii="Arial" w:hAnsi="Arial" w:cs="Arial"/>
        </w:rPr>
        <w:t xml:space="preserve"> </w:t>
      </w:r>
      <w:r>
        <w:rPr>
          <w:rFonts w:ascii="Arial" w:hAnsi="Arial" w:cs="Arial"/>
        </w:rPr>
        <w:t>Priority</w:t>
      </w:r>
      <w:r w:rsidR="00E072ED">
        <w:rPr>
          <w:rFonts w:ascii="Arial" w:hAnsi="Arial" w:cs="Arial"/>
        </w:rPr>
        <w:t xml:space="preserve"> initiatives for the Ministry of Labour in 2014 included developing a wage gap strategy; protecting vulnerable workers; promoting occupational health and safety; supporting mental health in the workplace; and collaborating with “employers and unions to uphold and respect the collective bargaining process.”</w:t>
      </w:r>
      <w:r w:rsidR="00E072ED">
        <w:rPr>
          <w:rStyle w:val="FootnoteReference"/>
          <w:rFonts w:ascii="Arial" w:hAnsi="Arial" w:cs="Arial"/>
        </w:rPr>
        <w:footnoteReference w:id="14"/>
      </w:r>
      <w:r w:rsidR="00E072ED">
        <w:rPr>
          <w:rFonts w:ascii="Arial" w:hAnsi="Arial" w:cs="Arial"/>
        </w:rPr>
        <w:t xml:space="preserve"> In the 2013-2014 fiscal year, the Ontario Government spent an estimated 305.7 million on labour initiatives, with the largest amount (72%) supporting Occupational Health and Safety.</w:t>
      </w:r>
      <w:r w:rsidR="00E072ED">
        <w:rPr>
          <w:rStyle w:val="FootnoteReference"/>
          <w:rFonts w:ascii="Arial" w:hAnsi="Arial" w:cs="Arial"/>
        </w:rPr>
        <w:footnoteReference w:id="15"/>
      </w:r>
    </w:p>
    <w:p w:rsidR="00E072ED" w:rsidRDefault="00E072ED" w:rsidP="00E072ED">
      <w:pPr>
        <w:rPr>
          <w:rFonts w:ascii="Arial" w:hAnsi="Arial" w:cs="Arial"/>
        </w:rPr>
      </w:pPr>
    </w:p>
    <w:p w:rsidR="00E072ED" w:rsidRPr="00E702B3" w:rsidRDefault="00E072ED" w:rsidP="00E072ED">
      <w:pPr>
        <w:rPr>
          <w:rFonts w:ascii="Arial" w:hAnsi="Arial" w:cs="Arial"/>
        </w:rPr>
      </w:pPr>
      <w:r w:rsidRPr="00E702B3">
        <w:rPr>
          <w:rFonts w:ascii="Arial" w:hAnsi="Arial" w:cs="Arial"/>
        </w:rPr>
        <w:t>The Ministry of Labour's key areas of responsibility are occupational health and safety, employment rights and responsibilities, and labour relations. Through these areas, the ministry's mandate is to set, communicate and enforce workplace standards while encouraging greater workplace self-reliance. The Ministry also develops, coordinates and implements strategies to prevent workplace injuries and illnesses and can set standards for health and safety training. The following specialized associations, agencies, boards and commissions assist the ministry in its work: Grievance Settlement Board; Office of the Worker Advisor; Office of the Employer Advisor; Ontario Labour Relations Board</w:t>
      </w:r>
      <w:r w:rsidR="000940A7">
        <w:rPr>
          <w:rFonts w:ascii="Arial" w:hAnsi="Arial" w:cs="Arial"/>
        </w:rPr>
        <w:t xml:space="preserve"> (OLRM)</w:t>
      </w:r>
      <w:r w:rsidRPr="00E702B3">
        <w:rPr>
          <w:rFonts w:ascii="Arial" w:hAnsi="Arial" w:cs="Arial"/>
        </w:rPr>
        <w:t>; Pay Equity Office; Pay Equity Hearings Tribunal; Workplace Safety and Insurance Board</w:t>
      </w:r>
      <w:r w:rsidR="000940A7">
        <w:rPr>
          <w:rFonts w:ascii="Arial" w:hAnsi="Arial" w:cs="Arial"/>
        </w:rPr>
        <w:t xml:space="preserve"> (WSIB)</w:t>
      </w:r>
      <w:r w:rsidRPr="00E702B3">
        <w:rPr>
          <w:rFonts w:ascii="Arial" w:hAnsi="Arial" w:cs="Arial"/>
        </w:rPr>
        <w:t>; Workplace Safety and Insurance Appeals Tribunal</w:t>
      </w:r>
      <w:r w:rsidR="000940A7">
        <w:rPr>
          <w:rFonts w:ascii="Arial" w:hAnsi="Arial" w:cs="Arial"/>
        </w:rPr>
        <w:t xml:space="preserve"> (WSIAT)</w:t>
      </w:r>
      <w:r w:rsidRPr="00E702B3">
        <w:rPr>
          <w:rFonts w:ascii="Arial" w:hAnsi="Arial" w:cs="Arial"/>
        </w:rPr>
        <w:t>.</w:t>
      </w:r>
      <w:r>
        <w:rPr>
          <w:rStyle w:val="FootnoteReference"/>
          <w:rFonts w:ascii="Arial" w:hAnsi="Arial" w:cs="Arial"/>
        </w:rPr>
        <w:footnoteReference w:id="16"/>
      </w:r>
    </w:p>
    <w:p w:rsidR="00E072ED" w:rsidRPr="00C10D79" w:rsidRDefault="00E072ED" w:rsidP="00E072ED">
      <w:pPr>
        <w:rPr>
          <w:rFonts w:ascii="Arial" w:hAnsi="Arial" w:cs="Arial"/>
          <w:highlight w:val="yellow"/>
        </w:rPr>
      </w:pPr>
    </w:p>
    <w:p w:rsidR="00094BE1" w:rsidRDefault="00E072ED" w:rsidP="00E072ED">
      <w:pPr>
        <w:rPr>
          <w:rFonts w:ascii="Arial" w:hAnsi="Arial" w:cs="Arial"/>
        </w:rPr>
      </w:pPr>
      <w:r>
        <w:rPr>
          <w:rFonts w:ascii="Arial" w:hAnsi="Arial" w:cs="Arial"/>
        </w:rPr>
        <w:t>The Ministry of Labour</w:t>
      </w:r>
      <w:r w:rsidR="007C296D">
        <w:rPr>
          <w:rFonts w:ascii="Arial" w:hAnsi="Arial" w:cs="Arial"/>
        </w:rPr>
        <w:t xml:space="preserve"> also</w:t>
      </w:r>
      <w:r>
        <w:rPr>
          <w:rFonts w:ascii="Arial" w:hAnsi="Arial" w:cs="Arial"/>
        </w:rPr>
        <w:t xml:space="preserve"> plays an active role in the development and administration of labour legislation in Ontario. </w:t>
      </w:r>
      <w:r w:rsidR="00094BE1">
        <w:rPr>
          <w:rFonts w:ascii="Arial" w:hAnsi="Arial" w:cs="Arial"/>
        </w:rPr>
        <w:t>The</w:t>
      </w:r>
      <w:r>
        <w:rPr>
          <w:rFonts w:ascii="Arial" w:hAnsi="Arial" w:cs="Arial"/>
        </w:rPr>
        <w:t xml:space="preserve"> Ministry </w:t>
      </w:r>
      <w:r w:rsidR="00094BE1">
        <w:rPr>
          <w:rFonts w:ascii="Arial" w:hAnsi="Arial" w:cs="Arial"/>
        </w:rPr>
        <w:t>is</w:t>
      </w:r>
      <w:r>
        <w:rPr>
          <w:rFonts w:ascii="Arial" w:hAnsi="Arial" w:cs="Arial"/>
        </w:rPr>
        <w:t xml:space="preserve"> responsible for administ</w:t>
      </w:r>
      <w:r w:rsidR="00094BE1">
        <w:rPr>
          <w:rFonts w:ascii="Arial" w:hAnsi="Arial" w:cs="Arial"/>
        </w:rPr>
        <w:t xml:space="preserve">ering a total of thirteen acts. These </w:t>
      </w:r>
      <w:r>
        <w:rPr>
          <w:rFonts w:ascii="Arial" w:hAnsi="Arial" w:cs="Arial"/>
        </w:rPr>
        <w:t>includ</w:t>
      </w:r>
      <w:r w:rsidR="00094BE1">
        <w:rPr>
          <w:rFonts w:ascii="Arial" w:hAnsi="Arial" w:cs="Arial"/>
        </w:rPr>
        <w:t>e:</w:t>
      </w:r>
    </w:p>
    <w:p w:rsidR="00094BE1" w:rsidRDefault="00E072ED" w:rsidP="00E072ED">
      <w:pPr>
        <w:rPr>
          <w:rFonts w:ascii="Arial" w:hAnsi="Arial" w:cs="Arial"/>
        </w:rPr>
      </w:pPr>
      <w:r>
        <w:rPr>
          <w:rFonts w:ascii="Arial" w:hAnsi="Arial" w:cs="Arial"/>
        </w:rPr>
        <w:t xml:space="preserve"> </w:t>
      </w:r>
    </w:p>
    <w:p w:rsidR="00094BE1" w:rsidRDefault="00E072ED" w:rsidP="00094BE1">
      <w:pPr>
        <w:numPr>
          <w:ilvl w:val="0"/>
          <w:numId w:val="12"/>
        </w:numPr>
        <w:rPr>
          <w:rFonts w:ascii="Arial" w:hAnsi="Arial" w:cs="Arial"/>
        </w:rPr>
      </w:pPr>
      <w:r>
        <w:rPr>
          <w:rFonts w:ascii="Arial" w:hAnsi="Arial" w:cs="Arial"/>
        </w:rPr>
        <w:t>Occupational Health and Safety Act</w:t>
      </w:r>
      <w:r w:rsidR="00EC6632">
        <w:rPr>
          <w:rFonts w:ascii="Arial" w:hAnsi="Arial" w:cs="Arial"/>
        </w:rPr>
        <w:t>, 1990</w:t>
      </w:r>
    </w:p>
    <w:p w:rsidR="00094BE1" w:rsidRDefault="00E072ED" w:rsidP="00094BE1">
      <w:pPr>
        <w:numPr>
          <w:ilvl w:val="0"/>
          <w:numId w:val="12"/>
        </w:numPr>
        <w:rPr>
          <w:rFonts w:ascii="Arial" w:hAnsi="Arial" w:cs="Arial"/>
        </w:rPr>
      </w:pPr>
      <w:r>
        <w:rPr>
          <w:rFonts w:ascii="Arial" w:hAnsi="Arial" w:cs="Arial"/>
        </w:rPr>
        <w:t>Pay Equity Act</w:t>
      </w:r>
      <w:r w:rsidR="00EC6632">
        <w:rPr>
          <w:rFonts w:ascii="Arial" w:hAnsi="Arial" w:cs="Arial"/>
        </w:rPr>
        <w:t>, 1990</w:t>
      </w:r>
    </w:p>
    <w:p w:rsidR="00094BE1" w:rsidRDefault="00E072ED" w:rsidP="00094BE1">
      <w:pPr>
        <w:numPr>
          <w:ilvl w:val="0"/>
          <w:numId w:val="12"/>
        </w:numPr>
        <w:rPr>
          <w:rFonts w:ascii="Arial" w:hAnsi="Arial" w:cs="Arial"/>
        </w:rPr>
      </w:pPr>
      <w:r>
        <w:rPr>
          <w:rFonts w:ascii="Arial" w:hAnsi="Arial" w:cs="Arial"/>
        </w:rPr>
        <w:t>Workplace</w:t>
      </w:r>
      <w:r w:rsidR="00094BE1">
        <w:rPr>
          <w:rFonts w:ascii="Arial" w:hAnsi="Arial" w:cs="Arial"/>
        </w:rPr>
        <w:t xml:space="preserve"> Safety and Insurance Act, 1997</w:t>
      </w:r>
    </w:p>
    <w:p w:rsidR="00094BE1" w:rsidRDefault="00E072ED" w:rsidP="00094BE1">
      <w:pPr>
        <w:numPr>
          <w:ilvl w:val="0"/>
          <w:numId w:val="12"/>
        </w:numPr>
        <w:rPr>
          <w:rFonts w:ascii="Arial" w:hAnsi="Arial" w:cs="Arial"/>
        </w:rPr>
      </w:pPr>
      <w:r>
        <w:rPr>
          <w:rFonts w:ascii="Arial" w:hAnsi="Arial" w:cs="Arial"/>
        </w:rPr>
        <w:t>Labour Relations Act, 1995</w:t>
      </w:r>
    </w:p>
    <w:p w:rsidR="00094BE1" w:rsidRDefault="00094BE1" w:rsidP="00094BE1">
      <w:pPr>
        <w:numPr>
          <w:ilvl w:val="0"/>
          <w:numId w:val="12"/>
        </w:numPr>
        <w:rPr>
          <w:rFonts w:ascii="Arial" w:hAnsi="Arial" w:cs="Arial"/>
        </w:rPr>
      </w:pPr>
      <w:r>
        <w:rPr>
          <w:rFonts w:ascii="Arial" w:hAnsi="Arial" w:cs="Arial"/>
        </w:rPr>
        <w:t>Employment Standards Act, 2000</w:t>
      </w:r>
    </w:p>
    <w:p w:rsidR="00094BE1" w:rsidRDefault="00E072ED" w:rsidP="00094BE1">
      <w:pPr>
        <w:numPr>
          <w:ilvl w:val="0"/>
          <w:numId w:val="12"/>
        </w:numPr>
        <w:rPr>
          <w:rFonts w:ascii="Arial" w:hAnsi="Arial" w:cs="Arial"/>
        </w:rPr>
      </w:pPr>
      <w:r>
        <w:rPr>
          <w:rFonts w:ascii="Arial" w:hAnsi="Arial" w:cs="Arial"/>
        </w:rPr>
        <w:t>Public Sector Dispute Resolution Act, 1997</w:t>
      </w:r>
    </w:p>
    <w:p w:rsidR="00094BE1" w:rsidRDefault="00E072ED" w:rsidP="00094BE1">
      <w:pPr>
        <w:numPr>
          <w:ilvl w:val="0"/>
          <w:numId w:val="12"/>
        </w:numPr>
        <w:rPr>
          <w:rFonts w:ascii="Arial" w:hAnsi="Arial" w:cs="Arial"/>
        </w:rPr>
      </w:pPr>
      <w:r>
        <w:rPr>
          <w:rFonts w:ascii="Arial" w:hAnsi="Arial" w:cs="Arial"/>
        </w:rPr>
        <w:lastRenderedPageBreak/>
        <w:t xml:space="preserve">Employment Protection of Foreign Nationals Act (Live-in </w:t>
      </w:r>
      <w:r w:rsidR="00094BE1">
        <w:rPr>
          <w:rFonts w:ascii="Arial" w:hAnsi="Arial" w:cs="Arial"/>
        </w:rPr>
        <w:t>Caregivers and Others), 2009</w:t>
      </w:r>
      <w:r>
        <w:rPr>
          <w:rFonts w:ascii="Arial" w:hAnsi="Arial" w:cs="Arial"/>
        </w:rPr>
        <w:t xml:space="preserve"> </w:t>
      </w:r>
    </w:p>
    <w:p w:rsidR="00094BE1" w:rsidRDefault="00094BE1" w:rsidP="00094BE1">
      <w:pPr>
        <w:rPr>
          <w:rFonts w:ascii="Arial" w:hAnsi="Arial" w:cs="Arial"/>
        </w:rPr>
      </w:pPr>
    </w:p>
    <w:p w:rsidR="00E072ED" w:rsidRDefault="00E072ED" w:rsidP="00094BE1">
      <w:pPr>
        <w:rPr>
          <w:rFonts w:ascii="Arial" w:hAnsi="Arial" w:cs="Arial"/>
        </w:rPr>
      </w:pPr>
      <w:r>
        <w:rPr>
          <w:rFonts w:ascii="Arial" w:hAnsi="Arial" w:cs="Arial"/>
        </w:rPr>
        <w:t>The Ministry of Labour also shares in the responsibility of administering other acts, such as the Colleges Collective Bargaining Act, 2008 (with the Ministry of Training, Colleges, and Universities), and has administered several “Back to Work” acts, including the Toronto Public Transit Service Resumption Act, 2008; and the York University Labour Disputes Resolution Act, 2009.</w:t>
      </w:r>
      <w:r>
        <w:rPr>
          <w:rStyle w:val="FootnoteReference"/>
          <w:rFonts w:ascii="Arial" w:hAnsi="Arial" w:cs="Arial"/>
        </w:rPr>
        <w:footnoteReference w:id="17"/>
      </w:r>
      <w:r>
        <w:rPr>
          <w:rFonts w:ascii="Arial" w:hAnsi="Arial" w:cs="Arial"/>
        </w:rPr>
        <w:t xml:space="preserve"> </w:t>
      </w:r>
    </w:p>
    <w:p w:rsidR="00E072ED" w:rsidRDefault="00E072ED" w:rsidP="00E072ED">
      <w:pPr>
        <w:rPr>
          <w:rFonts w:ascii="Arial" w:hAnsi="Arial" w:cs="Arial"/>
        </w:rPr>
      </w:pPr>
    </w:p>
    <w:p w:rsidR="00E072ED" w:rsidRPr="00C13964" w:rsidRDefault="0040234F" w:rsidP="00E072ED">
      <w:pPr>
        <w:rPr>
          <w:rFonts w:ascii="Arial" w:hAnsi="Arial" w:cs="Arial"/>
        </w:rPr>
      </w:pPr>
      <w:r>
        <w:rPr>
          <w:rFonts w:ascii="Arial" w:hAnsi="Arial" w:cs="Arial"/>
        </w:rPr>
        <w:t>Reporting</w:t>
      </w:r>
      <w:r w:rsidR="002F1A82">
        <w:rPr>
          <w:rFonts w:ascii="Arial" w:hAnsi="Arial" w:cs="Arial"/>
        </w:rPr>
        <w:t xml:space="preserve"> to the</w:t>
      </w:r>
      <w:r w:rsidR="00E072ED">
        <w:rPr>
          <w:rFonts w:ascii="Arial" w:hAnsi="Arial" w:cs="Arial"/>
        </w:rPr>
        <w:t xml:space="preserve"> Ministry of Labour, the</w:t>
      </w:r>
      <w:r w:rsidR="00E072ED" w:rsidRPr="00E702B3">
        <w:rPr>
          <w:rFonts w:ascii="Arial" w:hAnsi="Arial" w:cs="Arial"/>
        </w:rPr>
        <w:t xml:space="preserve"> </w:t>
      </w:r>
      <w:r w:rsidR="0096266D">
        <w:rPr>
          <w:rFonts w:ascii="Arial" w:hAnsi="Arial" w:cs="Arial"/>
        </w:rPr>
        <w:t>Ontario Labour Relations Board</w:t>
      </w:r>
      <w:r w:rsidR="004B12E8">
        <w:rPr>
          <w:rFonts w:ascii="Arial" w:hAnsi="Arial" w:cs="Arial"/>
        </w:rPr>
        <w:t>,</w:t>
      </w:r>
      <w:r w:rsidR="0096266D">
        <w:rPr>
          <w:rFonts w:ascii="Arial" w:hAnsi="Arial" w:cs="Arial"/>
        </w:rPr>
        <w:t xml:space="preserve"> a</w:t>
      </w:r>
      <w:r w:rsidR="00E072ED" w:rsidRPr="00E702B3">
        <w:rPr>
          <w:rFonts w:ascii="Arial" w:hAnsi="Arial" w:cs="Arial"/>
        </w:rPr>
        <w:t>s an independent, adjudicative tribunal</w:t>
      </w:r>
      <w:r w:rsidR="002F1A82">
        <w:rPr>
          <w:rFonts w:ascii="Arial" w:hAnsi="Arial" w:cs="Arial"/>
        </w:rPr>
        <w:t>,</w:t>
      </w:r>
      <w:r w:rsidR="00E072ED" w:rsidRPr="00E702B3">
        <w:rPr>
          <w:rFonts w:ascii="Arial" w:hAnsi="Arial" w:cs="Arial"/>
        </w:rPr>
        <w:t xml:space="preserve"> plays a fundamental role </w:t>
      </w:r>
      <w:r w:rsidR="00E072ED">
        <w:rPr>
          <w:rFonts w:ascii="Arial" w:hAnsi="Arial" w:cs="Arial"/>
        </w:rPr>
        <w:t>in</w:t>
      </w:r>
      <w:r w:rsidR="00E072ED" w:rsidRPr="00E702B3">
        <w:rPr>
          <w:rFonts w:ascii="Arial" w:hAnsi="Arial" w:cs="Arial"/>
        </w:rPr>
        <w:t xml:space="preserve"> the labour relations regime in Ontario</w:t>
      </w:r>
      <w:r>
        <w:rPr>
          <w:rFonts w:ascii="Arial" w:hAnsi="Arial" w:cs="Arial"/>
        </w:rPr>
        <w:t>.</w:t>
      </w:r>
      <w:r w:rsidR="00E072ED" w:rsidRPr="00E702B3">
        <w:rPr>
          <w:rFonts w:ascii="Arial" w:hAnsi="Arial" w:cs="Arial"/>
        </w:rPr>
        <w:t xml:space="preserve"> </w:t>
      </w:r>
      <w:r>
        <w:rPr>
          <w:rFonts w:ascii="Arial" w:hAnsi="Arial" w:cs="Arial"/>
        </w:rPr>
        <w:t>It</w:t>
      </w:r>
      <w:r w:rsidR="00E072ED" w:rsidRPr="00E702B3">
        <w:rPr>
          <w:rFonts w:ascii="Arial" w:hAnsi="Arial" w:cs="Arial"/>
        </w:rPr>
        <w:t xml:space="preserve"> encourages harmonious relations between employers, employees and trade unions by dealing with matters before it as expeditiously and as fairly as reasonably possible.</w:t>
      </w:r>
      <w:r w:rsidR="00E072ED">
        <w:rPr>
          <w:rStyle w:val="FootnoteReference"/>
          <w:rFonts w:ascii="Arial" w:hAnsi="Arial" w:cs="Arial"/>
        </w:rPr>
        <w:footnoteReference w:id="18"/>
      </w:r>
    </w:p>
    <w:p w:rsidR="00E072ED" w:rsidRPr="00C10D79" w:rsidRDefault="00E072ED" w:rsidP="00E072ED">
      <w:pPr>
        <w:rPr>
          <w:rFonts w:ascii="Arial" w:hAnsi="Arial" w:cs="Arial"/>
          <w:highlight w:val="yellow"/>
        </w:rPr>
      </w:pPr>
    </w:p>
    <w:p w:rsidR="00FA20DD" w:rsidRPr="00156D85" w:rsidRDefault="00E90E18" w:rsidP="00156D85">
      <w:pPr>
        <w:rPr>
          <w:rStyle w:val="Heading1Char"/>
        </w:rPr>
      </w:pPr>
      <w:r>
        <w:rPr>
          <w:rFonts w:ascii="Arial" w:hAnsi="Arial" w:cs="Arial"/>
        </w:rPr>
        <w:t>Activities</w:t>
      </w:r>
      <w:r w:rsidR="00E072ED">
        <w:rPr>
          <w:rFonts w:ascii="Arial" w:hAnsi="Arial" w:cs="Arial"/>
        </w:rPr>
        <w:t xml:space="preserve"> related to labour also </w:t>
      </w:r>
      <w:r w:rsidR="00EC6632">
        <w:rPr>
          <w:rFonts w:ascii="Arial" w:hAnsi="Arial" w:cs="Arial"/>
        </w:rPr>
        <w:t>exist</w:t>
      </w:r>
      <w:r w:rsidR="00E072ED">
        <w:rPr>
          <w:rFonts w:ascii="Arial" w:hAnsi="Arial" w:cs="Arial"/>
        </w:rPr>
        <w:t xml:space="preserve"> in the private sector in the form of </w:t>
      </w:r>
      <w:r>
        <w:rPr>
          <w:rFonts w:ascii="Arial" w:hAnsi="Arial" w:cs="Arial"/>
        </w:rPr>
        <w:t xml:space="preserve">labour unions and federations of labour, </w:t>
      </w:r>
      <w:r w:rsidR="00E072ED">
        <w:rPr>
          <w:rFonts w:ascii="Arial" w:hAnsi="Arial" w:cs="Arial"/>
        </w:rPr>
        <w:t>employers’ organizations; workers’ rights organizations; workers’ support organizations; professional associations; and individual activists.</w:t>
      </w:r>
      <w:r>
        <w:rPr>
          <w:rFonts w:ascii="Arial" w:hAnsi="Arial" w:cs="Arial"/>
        </w:rPr>
        <w:t xml:space="preserve"> </w:t>
      </w:r>
      <w:r w:rsidR="006A4DA7">
        <w:rPr>
          <w:rFonts w:ascii="Arial" w:hAnsi="Arial" w:cs="Arial"/>
        </w:rPr>
        <w:t>As l</w:t>
      </w:r>
      <w:r w:rsidR="00E072ED">
        <w:rPr>
          <w:rFonts w:ascii="Arial" w:hAnsi="Arial" w:cs="Arial"/>
        </w:rPr>
        <w:t>abour continues to be a priority for the province of Ontario, it remains important to examine these areas of the private sector for records of lasting provincial significance.</w:t>
      </w:r>
      <w:r w:rsidR="00156D85">
        <w:rPr>
          <w:rFonts w:ascii="Arial" w:hAnsi="Arial" w:cs="Arial"/>
        </w:rPr>
        <w:br/>
      </w:r>
      <w:r w:rsidR="00E95576">
        <w:br/>
      </w:r>
      <w:bookmarkStart w:id="7" w:name="_Toc467489234"/>
      <w:r w:rsidR="00483AA9" w:rsidRPr="00156D85">
        <w:rPr>
          <w:rStyle w:val="Heading1Char"/>
        </w:rPr>
        <w:t xml:space="preserve">3. </w:t>
      </w:r>
      <w:r w:rsidR="00E95576" w:rsidRPr="00156D85">
        <w:rPr>
          <w:rStyle w:val="Heading1Char"/>
        </w:rPr>
        <w:t>Analysis of Archives of Ontario Holdings</w:t>
      </w:r>
      <w:bookmarkEnd w:id="7"/>
    </w:p>
    <w:p w:rsidR="00FA20DD" w:rsidRPr="00E95576" w:rsidRDefault="00FA20DD" w:rsidP="00FA20DD">
      <w:pPr>
        <w:rPr>
          <w:rFonts w:ascii="Arial" w:hAnsi="Arial" w:cs="Arial"/>
        </w:rPr>
      </w:pPr>
      <w:r w:rsidRPr="00E95576">
        <w:rPr>
          <w:rFonts w:ascii="Arial" w:hAnsi="Arial" w:cs="Arial"/>
        </w:rPr>
        <w:t>In examining the holdings of the Archives of Ontario</w:t>
      </w:r>
      <w:r w:rsidR="00C473B3">
        <w:rPr>
          <w:rFonts w:ascii="Arial" w:hAnsi="Arial" w:cs="Arial"/>
        </w:rPr>
        <w:t xml:space="preserve"> post-1980</w:t>
      </w:r>
      <w:r w:rsidRPr="00E95576">
        <w:rPr>
          <w:rFonts w:ascii="Arial" w:hAnsi="Arial" w:cs="Arial"/>
        </w:rPr>
        <w:t>, a search of the Archives Descriptive Database was undertaken to determine what records have been acquired from the private sector that complement the</w:t>
      </w:r>
      <w:r w:rsidR="009D10CB">
        <w:rPr>
          <w:rFonts w:ascii="Arial" w:hAnsi="Arial" w:cs="Arial"/>
        </w:rPr>
        <w:t xml:space="preserve"> joint</w:t>
      </w:r>
      <w:r w:rsidRPr="00E95576">
        <w:rPr>
          <w:rFonts w:ascii="Arial" w:hAnsi="Arial" w:cs="Arial"/>
        </w:rPr>
        <w:t xml:space="preserve"> functions of the </w:t>
      </w:r>
      <w:r w:rsidR="009D10CB">
        <w:rPr>
          <w:rFonts w:ascii="Arial" w:hAnsi="Arial" w:cs="Arial"/>
        </w:rPr>
        <w:t xml:space="preserve">Ministry of Labour and the Ontario Labour Relations Board </w:t>
      </w:r>
      <w:r w:rsidRPr="00E95576">
        <w:rPr>
          <w:rFonts w:ascii="Arial" w:hAnsi="Arial" w:cs="Arial"/>
        </w:rPr>
        <w:t xml:space="preserve"> with respect to the administration and regulation of</w:t>
      </w:r>
      <w:r>
        <w:rPr>
          <w:rFonts w:ascii="Arial" w:hAnsi="Arial" w:cs="Arial"/>
        </w:rPr>
        <w:t xml:space="preserve"> labour</w:t>
      </w:r>
      <w:r w:rsidRPr="00E95576">
        <w:rPr>
          <w:rFonts w:ascii="Arial" w:hAnsi="Arial" w:cs="Arial"/>
        </w:rPr>
        <w:t xml:space="preserve">. This revealed that the Archives’ holdings contain </w:t>
      </w:r>
      <w:r>
        <w:rPr>
          <w:rFonts w:ascii="Arial" w:hAnsi="Arial" w:cs="Arial"/>
        </w:rPr>
        <w:t>only a small number</w:t>
      </w:r>
      <w:r w:rsidRPr="00CC302B">
        <w:rPr>
          <w:rFonts w:ascii="Arial" w:hAnsi="Arial" w:cs="Arial"/>
        </w:rPr>
        <w:t xml:space="preserve"> of private records documenting some of the functions carried out by the </w:t>
      </w:r>
      <w:r w:rsidR="009D10CB">
        <w:rPr>
          <w:rFonts w:ascii="Arial" w:hAnsi="Arial" w:cs="Arial"/>
        </w:rPr>
        <w:t>two bodies</w:t>
      </w:r>
      <w:r w:rsidR="007714F1">
        <w:rPr>
          <w:rFonts w:ascii="Arial" w:hAnsi="Arial" w:cs="Arial"/>
        </w:rPr>
        <w:t xml:space="preserve"> for the post-1980 period</w:t>
      </w:r>
      <w:r w:rsidRPr="00CC302B">
        <w:rPr>
          <w:rFonts w:ascii="Arial" w:hAnsi="Arial" w:cs="Arial"/>
        </w:rPr>
        <w:t>.</w:t>
      </w:r>
    </w:p>
    <w:p w:rsidR="00D521EA" w:rsidRDefault="00D521EA" w:rsidP="00FA20DD">
      <w:pPr>
        <w:rPr>
          <w:rFonts w:ascii="Arial" w:hAnsi="Arial" w:cs="Arial"/>
          <w:lang w:val="en-GB"/>
        </w:rPr>
      </w:pPr>
    </w:p>
    <w:p w:rsidR="00FA20DD" w:rsidRDefault="00FA20DD" w:rsidP="00FA20DD">
      <w:pPr>
        <w:rPr>
          <w:rFonts w:ascii="Arial" w:hAnsi="Arial" w:cs="Arial"/>
          <w:lang w:val="en-GB"/>
        </w:rPr>
      </w:pPr>
      <w:r>
        <w:rPr>
          <w:rFonts w:ascii="Arial" w:hAnsi="Arial" w:cs="Arial"/>
          <w:lang w:val="en-GB"/>
        </w:rPr>
        <w:t xml:space="preserve">The Archives of Ontario </w:t>
      </w:r>
      <w:r w:rsidR="00D521EA">
        <w:rPr>
          <w:rFonts w:ascii="Arial" w:hAnsi="Arial" w:cs="Arial"/>
          <w:lang w:val="en-GB"/>
        </w:rPr>
        <w:t>has identified</w:t>
      </w:r>
      <w:r>
        <w:rPr>
          <w:rFonts w:ascii="Arial" w:hAnsi="Arial" w:cs="Arial"/>
          <w:lang w:val="en-GB"/>
        </w:rPr>
        <w:t xml:space="preserve"> the Ministry</w:t>
      </w:r>
      <w:r w:rsidR="007714F1">
        <w:rPr>
          <w:rFonts w:ascii="Arial" w:hAnsi="Arial" w:cs="Arial"/>
          <w:lang w:val="en-GB"/>
        </w:rPr>
        <w:t xml:space="preserve"> of Labour’s</w:t>
      </w:r>
      <w:r>
        <w:rPr>
          <w:rFonts w:ascii="Arial" w:hAnsi="Arial" w:cs="Arial"/>
          <w:lang w:val="en-GB"/>
        </w:rPr>
        <w:t xml:space="preserve"> three core functions as:</w:t>
      </w:r>
    </w:p>
    <w:p w:rsidR="00FA20DD" w:rsidRDefault="00FA20DD" w:rsidP="00FA20DD">
      <w:pPr>
        <w:rPr>
          <w:rFonts w:ascii="Arial" w:hAnsi="Arial" w:cs="Arial"/>
          <w:lang w:val="en-GB"/>
        </w:rPr>
      </w:pPr>
    </w:p>
    <w:p w:rsidR="00FA20DD" w:rsidRDefault="00FA20DD" w:rsidP="00FA20DD">
      <w:pPr>
        <w:numPr>
          <w:ilvl w:val="0"/>
          <w:numId w:val="9"/>
        </w:numPr>
        <w:rPr>
          <w:rFonts w:ascii="Arial" w:hAnsi="Arial" w:cs="Arial"/>
          <w:lang w:val="en-GB"/>
        </w:rPr>
      </w:pPr>
      <w:r>
        <w:rPr>
          <w:rFonts w:ascii="Arial" w:hAnsi="Arial" w:cs="Arial"/>
          <w:lang w:val="en-GB"/>
        </w:rPr>
        <w:t>Ensuring employment rights and responsibilities</w:t>
      </w:r>
    </w:p>
    <w:p w:rsidR="00FA20DD" w:rsidRDefault="00FA20DD" w:rsidP="00FA20DD">
      <w:pPr>
        <w:numPr>
          <w:ilvl w:val="0"/>
          <w:numId w:val="9"/>
        </w:numPr>
        <w:rPr>
          <w:rFonts w:ascii="Arial" w:hAnsi="Arial" w:cs="Arial"/>
          <w:lang w:val="en-GB"/>
        </w:rPr>
      </w:pPr>
      <w:r>
        <w:rPr>
          <w:rFonts w:ascii="Arial" w:hAnsi="Arial" w:cs="Arial"/>
          <w:lang w:val="en-GB"/>
        </w:rPr>
        <w:t>Promoting occupational health and safety</w:t>
      </w:r>
    </w:p>
    <w:p w:rsidR="00FA20DD" w:rsidRPr="00DE77B2" w:rsidRDefault="00FA20DD" w:rsidP="00FA20DD">
      <w:pPr>
        <w:numPr>
          <w:ilvl w:val="0"/>
          <w:numId w:val="9"/>
        </w:numPr>
        <w:rPr>
          <w:rFonts w:ascii="Arial" w:hAnsi="Arial" w:cs="Arial"/>
          <w:lang w:val="en-GB"/>
        </w:rPr>
      </w:pPr>
      <w:r>
        <w:rPr>
          <w:rFonts w:ascii="Arial" w:hAnsi="Arial" w:cs="Arial"/>
          <w:lang w:val="en-GB"/>
        </w:rPr>
        <w:t>Promoting and maintaining stable labour relations</w:t>
      </w:r>
    </w:p>
    <w:p w:rsidR="00FA20DD" w:rsidRPr="00DE3FEF" w:rsidRDefault="00FA20DD" w:rsidP="00FA20DD">
      <w:pPr>
        <w:rPr>
          <w:rFonts w:ascii="Arial" w:hAnsi="Arial" w:cs="Arial"/>
          <w:highlight w:val="yellow"/>
          <w:lang w:val="en-GB"/>
        </w:rPr>
      </w:pPr>
    </w:p>
    <w:p w:rsidR="00FA20DD" w:rsidRPr="00CC302B" w:rsidRDefault="009D10CB" w:rsidP="00FA20DD">
      <w:pPr>
        <w:rPr>
          <w:rFonts w:ascii="Arial" w:hAnsi="Arial" w:cs="Arial"/>
          <w:lang w:val="en-GB"/>
        </w:rPr>
      </w:pPr>
      <w:proofErr w:type="gramStart"/>
      <w:r>
        <w:rPr>
          <w:rFonts w:ascii="Arial" w:hAnsi="Arial" w:cs="Arial"/>
          <w:lang w:val="en-GB"/>
        </w:rPr>
        <w:t>while</w:t>
      </w:r>
      <w:proofErr w:type="gramEnd"/>
      <w:r>
        <w:rPr>
          <w:rFonts w:ascii="Arial" w:hAnsi="Arial" w:cs="Arial"/>
          <w:lang w:val="en-GB"/>
        </w:rPr>
        <w:t xml:space="preserve"> </w:t>
      </w:r>
      <w:r w:rsidR="00D521EA">
        <w:rPr>
          <w:rFonts w:ascii="Arial" w:hAnsi="Arial" w:cs="Arial"/>
          <w:lang w:val="en-GB"/>
        </w:rPr>
        <w:t>the Ontario Labour Relations</w:t>
      </w:r>
      <w:r w:rsidR="00FA20DD" w:rsidRPr="00CC302B">
        <w:rPr>
          <w:rFonts w:ascii="Arial" w:hAnsi="Arial" w:cs="Arial"/>
          <w:lang w:val="en-GB"/>
        </w:rPr>
        <w:t xml:space="preserve"> Board’s four core functions </w:t>
      </w:r>
      <w:r>
        <w:rPr>
          <w:rFonts w:ascii="Arial" w:hAnsi="Arial" w:cs="Arial"/>
          <w:lang w:val="en-GB"/>
        </w:rPr>
        <w:t>are</w:t>
      </w:r>
      <w:r w:rsidR="00FA20DD" w:rsidRPr="00CC302B">
        <w:rPr>
          <w:rFonts w:ascii="Arial" w:hAnsi="Arial" w:cs="Arial"/>
          <w:lang w:val="en-GB"/>
        </w:rPr>
        <w:t xml:space="preserve">: </w:t>
      </w:r>
    </w:p>
    <w:p w:rsidR="00FA20DD" w:rsidRPr="00DE3FEF" w:rsidRDefault="00FA20DD" w:rsidP="00FA20DD">
      <w:pPr>
        <w:rPr>
          <w:rFonts w:ascii="Arial" w:hAnsi="Arial" w:cs="Arial"/>
          <w:highlight w:val="yellow"/>
          <w:lang w:val="en-GB"/>
        </w:rPr>
      </w:pPr>
    </w:p>
    <w:p w:rsidR="00FA20DD" w:rsidRDefault="00FA20DD" w:rsidP="009D10CB">
      <w:pPr>
        <w:pStyle w:val="ListParagraph"/>
        <w:numPr>
          <w:ilvl w:val="0"/>
          <w:numId w:val="9"/>
        </w:numPr>
        <w:rPr>
          <w:rFonts w:ascii="Arial" w:hAnsi="Arial" w:cs="Arial"/>
          <w:lang w:val="en-GB"/>
        </w:rPr>
      </w:pPr>
      <w:r>
        <w:rPr>
          <w:rFonts w:ascii="Arial" w:hAnsi="Arial" w:cs="Arial"/>
          <w:lang w:val="en-GB"/>
        </w:rPr>
        <w:t>Providing executive and management support to the Board</w:t>
      </w:r>
    </w:p>
    <w:p w:rsidR="00FA20DD" w:rsidRDefault="00FA20DD" w:rsidP="009D10CB">
      <w:pPr>
        <w:pStyle w:val="ListParagraph"/>
        <w:numPr>
          <w:ilvl w:val="0"/>
          <w:numId w:val="9"/>
        </w:numPr>
        <w:rPr>
          <w:rFonts w:ascii="Arial" w:hAnsi="Arial" w:cs="Arial"/>
          <w:lang w:val="en-GB"/>
        </w:rPr>
      </w:pPr>
      <w:r>
        <w:rPr>
          <w:rFonts w:ascii="Arial" w:hAnsi="Arial" w:cs="Arial"/>
          <w:lang w:val="en-GB"/>
        </w:rPr>
        <w:lastRenderedPageBreak/>
        <w:t>Providing mediation services</w:t>
      </w:r>
    </w:p>
    <w:p w:rsidR="00FA20DD" w:rsidRDefault="00FA20DD" w:rsidP="009D10CB">
      <w:pPr>
        <w:pStyle w:val="ListParagraph"/>
        <w:numPr>
          <w:ilvl w:val="0"/>
          <w:numId w:val="9"/>
        </w:numPr>
        <w:rPr>
          <w:rFonts w:ascii="Arial" w:hAnsi="Arial" w:cs="Arial"/>
          <w:lang w:val="en-GB"/>
        </w:rPr>
      </w:pPr>
      <w:r>
        <w:rPr>
          <w:rFonts w:ascii="Arial" w:hAnsi="Arial" w:cs="Arial"/>
          <w:lang w:val="en-GB"/>
        </w:rPr>
        <w:t>Providing adjudication services</w:t>
      </w:r>
    </w:p>
    <w:p w:rsidR="00FA20DD" w:rsidRPr="00CC302B" w:rsidRDefault="00FA20DD" w:rsidP="009D10CB">
      <w:pPr>
        <w:pStyle w:val="ListParagraph"/>
        <w:numPr>
          <w:ilvl w:val="0"/>
          <w:numId w:val="9"/>
        </w:numPr>
        <w:rPr>
          <w:rFonts w:ascii="Arial" w:hAnsi="Arial" w:cs="Arial"/>
          <w:lang w:val="en-GB"/>
        </w:rPr>
      </w:pPr>
      <w:r>
        <w:rPr>
          <w:rFonts w:ascii="Arial" w:hAnsi="Arial" w:cs="Arial"/>
          <w:lang w:val="en-GB"/>
        </w:rPr>
        <w:t>Providing reconsideration of Board decisions</w:t>
      </w:r>
    </w:p>
    <w:p w:rsidR="00FA20DD" w:rsidRDefault="00FA20DD" w:rsidP="00FA20DD">
      <w:pPr>
        <w:rPr>
          <w:rFonts w:ascii="Arial" w:hAnsi="Arial" w:cs="Arial"/>
          <w:bCs/>
          <w:iCs/>
          <w:lang w:val="en-GB"/>
        </w:rPr>
      </w:pPr>
    </w:p>
    <w:p w:rsidR="00FA20DD" w:rsidRPr="00126608" w:rsidRDefault="0040234F" w:rsidP="00FA20DD">
      <w:pPr>
        <w:rPr>
          <w:rFonts w:ascii="Arial" w:hAnsi="Arial" w:cs="Arial"/>
        </w:rPr>
      </w:pPr>
      <w:r>
        <w:rPr>
          <w:rFonts w:ascii="Arial" w:hAnsi="Arial" w:cs="Arial"/>
        </w:rPr>
        <w:t xml:space="preserve">Currently, the Archives </w:t>
      </w:r>
      <w:proofErr w:type="gramStart"/>
      <w:r w:rsidR="00FA20DD" w:rsidRPr="00126608">
        <w:rPr>
          <w:rFonts w:ascii="Arial" w:hAnsi="Arial" w:cs="Arial"/>
        </w:rPr>
        <w:t>has</w:t>
      </w:r>
      <w:proofErr w:type="gramEnd"/>
      <w:r w:rsidR="00FA20DD" w:rsidRPr="00126608">
        <w:rPr>
          <w:rFonts w:ascii="Arial" w:hAnsi="Arial" w:cs="Arial"/>
        </w:rPr>
        <w:t xml:space="preserve"> some representation within its private records holdings for </w:t>
      </w:r>
      <w:r w:rsidR="00C473B3">
        <w:rPr>
          <w:rFonts w:ascii="Arial" w:hAnsi="Arial" w:cs="Arial"/>
        </w:rPr>
        <w:t>two</w:t>
      </w:r>
      <w:r w:rsidR="00FA20DD" w:rsidRPr="00126608">
        <w:rPr>
          <w:rFonts w:ascii="Arial" w:hAnsi="Arial" w:cs="Arial"/>
        </w:rPr>
        <w:t xml:space="preserve"> of the</w:t>
      </w:r>
      <w:r w:rsidR="00742946">
        <w:rPr>
          <w:rFonts w:ascii="Arial" w:hAnsi="Arial" w:cs="Arial"/>
        </w:rPr>
        <w:t>se</w:t>
      </w:r>
      <w:r w:rsidR="00FA20DD" w:rsidRPr="00126608">
        <w:rPr>
          <w:rFonts w:ascii="Arial" w:hAnsi="Arial" w:cs="Arial"/>
        </w:rPr>
        <w:t xml:space="preserve"> </w:t>
      </w:r>
      <w:r w:rsidR="00C473B3">
        <w:rPr>
          <w:rFonts w:ascii="Arial" w:hAnsi="Arial" w:cs="Arial"/>
        </w:rPr>
        <w:t>seven</w:t>
      </w:r>
      <w:r w:rsidR="00FA20DD" w:rsidRPr="00126608">
        <w:rPr>
          <w:rFonts w:ascii="Arial" w:hAnsi="Arial" w:cs="Arial"/>
        </w:rPr>
        <w:t xml:space="preserve"> identified functions.</w:t>
      </w:r>
    </w:p>
    <w:p w:rsidR="00FA20DD" w:rsidRPr="00DE3FEF" w:rsidRDefault="00FA20DD" w:rsidP="00FA20DD">
      <w:pPr>
        <w:rPr>
          <w:rFonts w:ascii="Arial" w:hAnsi="Arial" w:cs="Arial"/>
          <w:highlight w:val="yellow"/>
        </w:rPr>
      </w:pPr>
    </w:p>
    <w:p w:rsidR="00FA20DD" w:rsidRDefault="00FA20DD" w:rsidP="00FA20DD">
      <w:pPr>
        <w:rPr>
          <w:rFonts w:ascii="Arial" w:hAnsi="Arial" w:cs="Arial"/>
          <w:bCs/>
          <w:iCs/>
          <w:lang w:val="en-GB"/>
        </w:rPr>
      </w:pPr>
      <w:r w:rsidRPr="00126608">
        <w:rPr>
          <w:rFonts w:ascii="Arial" w:hAnsi="Arial" w:cs="Arial"/>
          <w:bCs/>
          <w:iCs/>
          <w:lang w:val="en-GB"/>
        </w:rPr>
        <w:t>While some of these functions, such as providing adjudication services</w:t>
      </w:r>
      <w:r w:rsidR="004664D6">
        <w:rPr>
          <w:rFonts w:ascii="Arial" w:hAnsi="Arial" w:cs="Arial"/>
          <w:bCs/>
          <w:iCs/>
          <w:lang w:val="en-GB"/>
        </w:rPr>
        <w:t>,</w:t>
      </w:r>
      <w:r w:rsidRPr="00126608">
        <w:rPr>
          <w:rFonts w:ascii="Arial" w:hAnsi="Arial" w:cs="Arial"/>
          <w:bCs/>
          <w:iCs/>
          <w:lang w:val="en-GB"/>
        </w:rPr>
        <w:t xml:space="preserve"> are the </w:t>
      </w:r>
      <w:r w:rsidR="0022668C">
        <w:rPr>
          <w:rFonts w:ascii="Arial" w:hAnsi="Arial" w:cs="Arial"/>
          <w:bCs/>
          <w:iCs/>
          <w:lang w:val="en-GB"/>
        </w:rPr>
        <w:t xml:space="preserve">sole </w:t>
      </w:r>
      <w:r w:rsidRPr="00126608">
        <w:rPr>
          <w:rFonts w:ascii="Arial" w:hAnsi="Arial" w:cs="Arial"/>
          <w:bCs/>
          <w:iCs/>
          <w:lang w:val="en-GB"/>
        </w:rPr>
        <w:t xml:space="preserve">responsibility of the Government of Ontario, </w:t>
      </w:r>
      <w:r>
        <w:rPr>
          <w:rFonts w:ascii="Arial" w:hAnsi="Arial" w:cs="Arial"/>
          <w:bCs/>
          <w:iCs/>
          <w:lang w:val="en-GB"/>
        </w:rPr>
        <w:t>other</w:t>
      </w:r>
      <w:r w:rsidRPr="00126608">
        <w:rPr>
          <w:rFonts w:ascii="Arial" w:hAnsi="Arial" w:cs="Arial"/>
          <w:bCs/>
          <w:iCs/>
          <w:lang w:val="en-GB"/>
        </w:rPr>
        <w:t xml:space="preserve"> functions can be reflected in some capacity in the Archi</w:t>
      </w:r>
      <w:r w:rsidR="007A2BB1">
        <w:rPr>
          <w:rFonts w:ascii="Arial" w:hAnsi="Arial" w:cs="Arial"/>
          <w:bCs/>
          <w:iCs/>
          <w:lang w:val="en-GB"/>
        </w:rPr>
        <w:t>ves’ private records holdings.</w:t>
      </w:r>
    </w:p>
    <w:p w:rsidR="007A2BB1" w:rsidRPr="007A2BB1" w:rsidRDefault="007A2BB1" w:rsidP="00FA20DD">
      <w:pPr>
        <w:rPr>
          <w:rFonts w:ascii="Arial" w:hAnsi="Arial" w:cs="Arial"/>
          <w:bCs/>
          <w:iCs/>
          <w:lang w:val="en-GB"/>
        </w:rPr>
      </w:pPr>
    </w:p>
    <w:p w:rsidR="00FA20DD" w:rsidRDefault="00FA20DD" w:rsidP="00FA20DD">
      <w:pPr>
        <w:rPr>
          <w:rFonts w:ascii="Arial" w:hAnsi="Arial" w:cs="Arial"/>
          <w:bCs/>
          <w:iCs/>
        </w:rPr>
      </w:pPr>
      <w:r w:rsidRPr="00126608">
        <w:rPr>
          <w:rFonts w:ascii="Arial" w:hAnsi="Arial" w:cs="Arial"/>
          <w:bCs/>
          <w:iCs/>
          <w:lang w:val="en-GB"/>
        </w:rPr>
        <w:t>An example of this</w:t>
      </w:r>
      <w:r w:rsidR="00742946">
        <w:rPr>
          <w:rFonts w:ascii="Arial" w:hAnsi="Arial" w:cs="Arial"/>
          <w:bCs/>
          <w:iCs/>
          <w:lang w:val="en-GB"/>
        </w:rPr>
        <w:t xml:space="preserve"> is F 1289 CUPE Ontario fonds. </w:t>
      </w:r>
      <w:r w:rsidRPr="00126608">
        <w:rPr>
          <w:rFonts w:ascii="Arial" w:hAnsi="Arial" w:cs="Arial"/>
          <w:bCs/>
          <w:iCs/>
          <w:lang w:val="en-GB"/>
        </w:rPr>
        <w:t>The records in this fonds help to document the private sector’s understanding of the function of “</w:t>
      </w:r>
      <w:r w:rsidRPr="00126608">
        <w:rPr>
          <w:rFonts w:ascii="Arial" w:hAnsi="Arial" w:cs="Arial"/>
          <w:lang w:val="en-GB"/>
        </w:rPr>
        <w:t>ensuring employment rights and responsibilities</w:t>
      </w:r>
      <w:r w:rsidRPr="00126608">
        <w:rPr>
          <w:rFonts w:ascii="Arial" w:hAnsi="Arial" w:cs="Arial"/>
          <w:bCs/>
          <w:iCs/>
          <w:lang w:val="en-GB"/>
        </w:rPr>
        <w:t xml:space="preserve">,” because one of the primary activities of the organization is to provide a </w:t>
      </w:r>
      <w:r w:rsidRPr="00126608">
        <w:rPr>
          <w:rFonts w:ascii="Arial" w:hAnsi="Arial" w:cs="Arial"/>
          <w:bCs/>
          <w:iCs/>
        </w:rPr>
        <w:t>strong voice for rights and fairness in the workplace for its members.</w:t>
      </w:r>
      <w:r>
        <w:rPr>
          <w:rFonts w:ascii="Arial" w:hAnsi="Arial" w:cs="Arial"/>
          <w:bCs/>
          <w:iCs/>
        </w:rPr>
        <w:t xml:space="preserve"> Fonds such as F 1289 CUPE Ontario fonds can also help document the private sector’s understanding of the function of “promoting and maintaining stable labour relations,” insofar as this function is in the best interests of both employees and employers.</w:t>
      </w:r>
    </w:p>
    <w:p w:rsidR="00E95576" w:rsidRPr="00C80934" w:rsidRDefault="0041304C" w:rsidP="00E95576">
      <w:pPr>
        <w:rPr>
          <w:rFonts w:ascii="Arial" w:hAnsi="Arial" w:cs="Arial"/>
          <w:bCs/>
          <w:iCs/>
          <w:lang w:val="en-GB"/>
        </w:rPr>
      </w:pPr>
      <w:r>
        <w:rPr>
          <w:rFonts w:ascii="Arial" w:hAnsi="Arial" w:cs="Arial"/>
          <w:bCs/>
          <w:iCs/>
          <w:lang w:val="en-GB"/>
        </w:rPr>
        <w:t xml:space="preserve"> </w:t>
      </w:r>
    </w:p>
    <w:p w:rsidR="00EB2FEC" w:rsidRDefault="00483AA9" w:rsidP="0011640F">
      <w:pPr>
        <w:pStyle w:val="Heading1"/>
      </w:pPr>
      <w:bookmarkStart w:id="8" w:name="_Toc467489235"/>
      <w:r>
        <w:t xml:space="preserve">4. </w:t>
      </w:r>
      <w:r w:rsidR="00E95576" w:rsidRPr="00E95576">
        <w:t xml:space="preserve">Methodology for Analyzing the </w:t>
      </w:r>
      <w:r w:rsidR="00FA20DD">
        <w:t xml:space="preserve">Labour </w:t>
      </w:r>
      <w:r w:rsidR="00E95576" w:rsidRPr="00E95576">
        <w:t>Sector</w:t>
      </w:r>
      <w:bookmarkEnd w:id="8"/>
    </w:p>
    <w:p w:rsidR="00E95576" w:rsidRPr="0011640F" w:rsidRDefault="00871FE4" w:rsidP="00E95576">
      <w:pPr>
        <w:rPr>
          <w:rFonts w:ascii="Arial" w:hAnsi="Arial" w:cs="Arial"/>
          <w:sz w:val="40"/>
          <w:szCs w:val="40"/>
        </w:rPr>
      </w:pPr>
      <w:r>
        <w:rPr>
          <w:rFonts w:ascii="Arial" w:hAnsi="Arial" w:cs="Arial"/>
        </w:rPr>
        <w:t>This section outlines the analysis methodology and rationale for how the secto</w:t>
      </w:r>
      <w:r w:rsidR="00483AA9">
        <w:rPr>
          <w:rFonts w:ascii="Arial" w:hAnsi="Arial" w:cs="Arial"/>
        </w:rPr>
        <w:t>r was broken down and assessed.</w:t>
      </w:r>
    </w:p>
    <w:p w:rsidR="00483AA9" w:rsidRPr="0011640F" w:rsidRDefault="00483AA9" w:rsidP="0011640F">
      <w:pPr>
        <w:pStyle w:val="Heading2"/>
      </w:pPr>
      <w:bookmarkStart w:id="9" w:name="_Toc467489236"/>
      <w:r w:rsidRPr="0011640F">
        <w:t>Sub-sector Identifications</w:t>
      </w:r>
      <w:bookmarkEnd w:id="9"/>
    </w:p>
    <w:p w:rsidR="0046119A" w:rsidRPr="0011640F" w:rsidRDefault="006A4DA7" w:rsidP="00E95576">
      <w:pPr>
        <w:rPr>
          <w:rFonts w:ascii="Arial" w:hAnsi="Arial" w:cs="Arial"/>
        </w:rPr>
      </w:pPr>
      <w:r>
        <w:rPr>
          <w:rFonts w:ascii="Arial" w:hAnsi="Arial" w:cs="Arial"/>
        </w:rPr>
        <w:t>Sub-sectors within the l</w:t>
      </w:r>
      <w:r w:rsidR="00FA20DD">
        <w:rPr>
          <w:rFonts w:ascii="Arial" w:hAnsi="Arial" w:cs="Arial"/>
        </w:rPr>
        <w:t xml:space="preserve">abour sector were selected based upon an analysis of major activities related to </w:t>
      </w:r>
      <w:r w:rsidR="00FA20DD" w:rsidRPr="00E05BB6">
        <w:rPr>
          <w:rFonts w:ascii="Arial" w:hAnsi="Arial" w:cs="Arial"/>
        </w:rPr>
        <w:t>labour</w:t>
      </w:r>
      <w:r w:rsidR="00FA20DD">
        <w:rPr>
          <w:rFonts w:ascii="Arial" w:hAnsi="Arial" w:cs="Arial"/>
        </w:rPr>
        <w:t xml:space="preserve"> known to occur within Ontario. Sub-sectors were identified based upon the major categories of organizations, bodies and individuals known to be involved or have an interest in such activities within the private sector.</w:t>
      </w:r>
    </w:p>
    <w:p w:rsidR="001C4E13" w:rsidRPr="00483AA9" w:rsidRDefault="00AD1A0B" w:rsidP="0011640F">
      <w:pPr>
        <w:pStyle w:val="Heading2"/>
      </w:pPr>
      <w:bookmarkStart w:id="10" w:name="_Toc467489237"/>
      <w:r w:rsidRPr="00483AA9">
        <w:t>Exclusions and Limitations</w:t>
      </w:r>
      <w:bookmarkEnd w:id="10"/>
      <w:r w:rsidR="00146B0D">
        <w:t xml:space="preserve"> </w:t>
      </w:r>
    </w:p>
    <w:p w:rsidR="00FA20DD" w:rsidRDefault="00FA20DD" w:rsidP="00FA20DD">
      <w:pPr>
        <w:rPr>
          <w:rFonts w:ascii="Arial" w:hAnsi="Arial" w:cs="Arial"/>
        </w:rPr>
      </w:pPr>
      <w:r>
        <w:rPr>
          <w:rFonts w:ascii="Arial" w:hAnsi="Arial" w:cs="Arial"/>
        </w:rPr>
        <w:t xml:space="preserve">This section provides an overview of certain sectors or categories in the Ontario </w:t>
      </w:r>
      <w:r w:rsidR="006A4DA7">
        <w:rPr>
          <w:rFonts w:ascii="Arial" w:hAnsi="Arial" w:cs="Arial"/>
        </w:rPr>
        <w:t>l</w:t>
      </w:r>
      <w:r>
        <w:rPr>
          <w:rFonts w:ascii="Arial" w:hAnsi="Arial" w:cs="Arial"/>
        </w:rPr>
        <w:t>abour sector which were excluded from the analysis.</w:t>
      </w:r>
    </w:p>
    <w:p w:rsidR="00FA20DD" w:rsidRDefault="00FA20DD" w:rsidP="00FA20DD">
      <w:pPr>
        <w:rPr>
          <w:rFonts w:ascii="Arial" w:hAnsi="Arial" w:cs="Arial"/>
        </w:rPr>
      </w:pPr>
    </w:p>
    <w:p w:rsidR="00FA20DD" w:rsidRPr="00611654" w:rsidRDefault="00FA20DD" w:rsidP="00FA20DD">
      <w:pPr>
        <w:rPr>
          <w:rFonts w:ascii="Arial" w:hAnsi="Arial" w:cs="Arial"/>
        </w:rPr>
      </w:pPr>
      <w:r w:rsidRPr="00611654">
        <w:rPr>
          <w:rFonts w:ascii="Arial" w:hAnsi="Arial" w:cs="Arial"/>
        </w:rPr>
        <w:t>Records of professional associations were excluded from this analysis. While some professional associations provide labour related advocacy for the benefit of their members, this usually plays only a minor role in their mandate.</w:t>
      </w:r>
      <w:r w:rsidR="008D7E6D">
        <w:rPr>
          <w:rFonts w:ascii="Arial" w:hAnsi="Arial" w:cs="Arial"/>
        </w:rPr>
        <w:t xml:space="preserve"> These records will be documented in sector analyses that are aligned to their subject area.</w:t>
      </w:r>
    </w:p>
    <w:p w:rsidR="00DC2DD6" w:rsidRPr="00483AA9" w:rsidRDefault="00483AA9" w:rsidP="0011640F">
      <w:pPr>
        <w:pStyle w:val="Heading1"/>
      </w:pPr>
      <w:r>
        <w:lastRenderedPageBreak/>
        <w:br/>
      </w:r>
      <w:bookmarkStart w:id="11" w:name="_Toc467489238"/>
      <w:r>
        <w:t xml:space="preserve">5. </w:t>
      </w:r>
      <w:r w:rsidR="00D822E1" w:rsidRPr="00CA2666">
        <w:t>Analysis</w:t>
      </w:r>
      <w:r w:rsidR="00810FFC">
        <w:t xml:space="preserve"> of </w:t>
      </w:r>
      <w:r w:rsidR="00FA20DD">
        <w:t xml:space="preserve">Labour </w:t>
      </w:r>
      <w:r w:rsidR="00810FFC">
        <w:t>sub-sectors</w:t>
      </w:r>
      <w:bookmarkEnd w:id="11"/>
    </w:p>
    <w:p w:rsidR="00FE2E1B" w:rsidRDefault="00810FFC" w:rsidP="00FE2E1B">
      <w:pPr>
        <w:rPr>
          <w:rFonts w:ascii="Arial" w:hAnsi="Arial" w:cs="Arial"/>
        </w:rPr>
      </w:pPr>
      <w:r>
        <w:rPr>
          <w:rFonts w:ascii="Arial" w:hAnsi="Arial" w:cs="Arial"/>
        </w:rPr>
        <w:t>This section examines</w:t>
      </w:r>
      <w:r w:rsidR="00CA446E">
        <w:rPr>
          <w:rFonts w:ascii="Arial" w:hAnsi="Arial" w:cs="Arial"/>
        </w:rPr>
        <w:t xml:space="preserve"> the scope of</w:t>
      </w:r>
      <w:r w:rsidR="00331141">
        <w:rPr>
          <w:rFonts w:ascii="Arial" w:hAnsi="Arial" w:cs="Arial"/>
        </w:rPr>
        <w:t xml:space="preserve"> the</w:t>
      </w:r>
      <w:r w:rsidR="00CA446E">
        <w:rPr>
          <w:rFonts w:ascii="Arial" w:hAnsi="Arial" w:cs="Arial"/>
        </w:rPr>
        <w:t xml:space="preserve"> </w:t>
      </w:r>
      <w:r w:rsidR="006A4DA7">
        <w:rPr>
          <w:rFonts w:ascii="Arial" w:hAnsi="Arial" w:cs="Arial"/>
        </w:rPr>
        <w:t>l</w:t>
      </w:r>
      <w:r w:rsidR="00FA20DD">
        <w:rPr>
          <w:rFonts w:ascii="Arial" w:hAnsi="Arial" w:cs="Arial"/>
        </w:rPr>
        <w:t xml:space="preserve">abour </w:t>
      </w:r>
      <w:r>
        <w:rPr>
          <w:rFonts w:ascii="Arial" w:hAnsi="Arial" w:cs="Arial"/>
        </w:rPr>
        <w:t>sub-s</w:t>
      </w:r>
      <w:r w:rsidR="00115CD4" w:rsidRPr="00890A6D">
        <w:rPr>
          <w:rFonts w:ascii="Arial" w:hAnsi="Arial" w:cs="Arial"/>
        </w:rPr>
        <w:t xml:space="preserve">ector </w:t>
      </w:r>
      <w:r w:rsidR="00FE2E1B" w:rsidRPr="00890A6D">
        <w:rPr>
          <w:rFonts w:ascii="Arial" w:hAnsi="Arial" w:cs="Arial"/>
        </w:rPr>
        <w:t xml:space="preserve">with respect to: </w:t>
      </w:r>
    </w:p>
    <w:p w:rsidR="00EE4365" w:rsidRDefault="00EE4365" w:rsidP="00FE2E1B">
      <w:pPr>
        <w:rPr>
          <w:rFonts w:ascii="Arial" w:hAnsi="Arial" w:cs="Arial"/>
        </w:rPr>
      </w:pPr>
    </w:p>
    <w:p w:rsidR="00EE4365" w:rsidRDefault="00EE4365" w:rsidP="00D822E1">
      <w:pPr>
        <w:numPr>
          <w:ilvl w:val="0"/>
          <w:numId w:val="2"/>
        </w:numPr>
        <w:rPr>
          <w:rFonts w:ascii="Arial" w:hAnsi="Arial" w:cs="Arial"/>
        </w:rPr>
      </w:pPr>
      <w:r>
        <w:rPr>
          <w:rFonts w:ascii="Arial" w:hAnsi="Arial" w:cs="Arial"/>
        </w:rPr>
        <w:t xml:space="preserve">Identifying and defining sub-sectors </w:t>
      </w:r>
      <w:r w:rsidR="00EE1756">
        <w:rPr>
          <w:rFonts w:ascii="Arial" w:hAnsi="Arial" w:cs="Arial"/>
        </w:rPr>
        <w:t xml:space="preserve">and categories within the </w:t>
      </w:r>
      <w:r w:rsidR="006A4DA7">
        <w:rPr>
          <w:rFonts w:ascii="Arial" w:hAnsi="Arial" w:cs="Arial"/>
        </w:rPr>
        <w:t>l</w:t>
      </w:r>
      <w:r w:rsidR="00FA20DD">
        <w:rPr>
          <w:rFonts w:ascii="Arial" w:hAnsi="Arial" w:cs="Arial"/>
        </w:rPr>
        <w:t>abour</w:t>
      </w:r>
      <w:r w:rsidR="006A4DA7">
        <w:rPr>
          <w:rFonts w:ascii="Arial" w:hAnsi="Arial" w:cs="Arial"/>
        </w:rPr>
        <w:t xml:space="preserve"> s</w:t>
      </w:r>
      <w:r w:rsidR="00CB79BD">
        <w:rPr>
          <w:rFonts w:ascii="Arial" w:hAnsi="Arial" w:cs="Arial"/>
        </w:rPr>
        <w:t>ector</w:t>
      </w:r>
    </w:p>
    <w:p w:rsidR="00EE4365" w:rsidRDefault="00EE4365" w:rsidP="00D822E1">
      <w:pPr>
        <w:numPr>
          <w:ilvl w:val="0"/>
          <w:numId w:val="2"/>
        </w:numPr>
        <w:rPr>
          <w:rFonts w:ascii="Arial" w:hAnsi="Arial" w:cs="Arial"/>
        </w:rPr>
      </w:pPr>
      <w:r>
        <w:rPr>
          <w:rFonts w:ascii="Arial" w:hAnsi="Arial" w:cs="Arial"/>
        </w:rPr>
        <w:t>Making connections between private sector acti</w:t>
      </w:r>
      <w:r w:rsidR="00CB79BD">
        <w:rPr>
          <w:rFonts w:ascii="Arial" w:hAnsi="Arial" w:cs="Arial"/>
        </w:rPr>
        <w:t>vities and government functions</w:t>
      </w:r>
    </w:p>
    <w:p w:rsidR="00EE4365" w:rsidRDefault="00EE4365" w:rsidP="00D822E1">
      <w:pPr>
        <w:numPr>
          <w:ilvl w:val="0"/>
          <w:numId w:val="2"/>
        </w:numPr>
        <w:rPr>
          <w:rFonts w:ascii="Arial" w:hAnsi="Arial" w:cs="Arial"/>
        </w:rPr>
      </w:pPr>
      <w:r>
        <w:rPr>
          <w:rFonts w:ascii="Arial" w:hAnsi="Arial" w:cs="Arial"/>
        </w:rPr>
        <w:t>Identifying existing holdings in the Archives of Ontario related to t</w:t>
      </w:r>
      <w:r w:rsidR="00EE1756">
        <w:rPr>
          <w:rFonts w:ascii="Arial" w:hAnsi="Arial" w:cs="Arial"/>
        </w:rPr>
        <w:t xml:space="preserve">he </w:t>
      </w:r>
      <w:r w:rsidR="006A4DA7">
        <w:rPr>
          <w:rFonts w:ascii="Arial" w:hAnsi="Arial" w:cs="Arial"/>
        </w:rPr>
        <w:t>l</w:t>
      </w:r>
      <w:r w:rsidR="00FA20DD">
        <w:rPr>
          <w:rFonts w:ascii="Arial" w:hAnsi="Arial" w:cs="Arial"/>
        </w:rPr>
        <w:t>abour</w:t>
      </w:r>
      <w:r w:rsidR="00981E95">
        <w:rPr>
          <w:rFonts w:ascii="Arial" w:hAnsi="Arial" w:cs="Arial"/>
        </w:rPr>
        <w:t xml:space="preserve"> </w:t>
      </w:r>
      <w:r w:rsidR="006A4DA7">
        <w:rPr>
          <w:rFonts w:ascii="Arial" w:hAnsi="Arial" w:cs="Arial"/>
        </w:rPr>
        <w:t>s</w:t>
      </w:r>
      <w:r>
        <w:rPr>
          <w:rFonts w:ascii="Arial" w:hAnsi="Arial" w:cs="Arial"/>
        </w:rPr>
        <w:t>ector (containing records dated 1980</w:t>
      </w:r>
      <w:r w:rsidR="008956C7">
        <w:rPr>
          <w:rFonts w:ascii="Arial" w:hAnsi="Arial" w:cs="Arial"/>
        </w:rPr>
        <w:t xml:space="preserve"> and later</w:t>
      </w:r>
      <w:r w:rsidR="00CB79BD">
        <w:rPr>
          <w:rFonts w:ascii="Arial" w:hAnsi="Arial" w:cs="Arial"/>
        </w:rPr>
        <w:t>)</w:t>
      </w:r>
    </w:p>
    <w:p w:rsidR="00D822E1" w:rsidRDefault="00D822E1" w:rsidP="00D822E1">
      <w:pPr>
        <w:numPr>
          <w:ilvl w:val="0"/>
          <w:numId w:val="2"/>
        </w:numPr>
        <w:rPr>
          <w:rFonts w:ascii="Arial" w:hAnsi="Arial" w:cs="Arial"/>
        </w:rPr>
      </w:pPr>
      <w:r>
        <w:rPr>
          <w:rFonts w:ascii="Arial" w:hAnsi="Arial" w:cs="Arial"/>
        </w:rPr>
        <w:t>Providing a rationale for the importance of acquiring documentation</w:t>
      </w:r>
      <w:r w:rsidR="00981E95">
        <w:rPr>
          <w:rFonts w:ascii="Arial" w:hAnsi="Arial" w:cs="Arial"/>
        </w:rPr>
        <w:t xml:space="preserve"> within a sub-sector</w:t>
      </w:r>
    </w:p>
    <w:p w:rsidR="00D822E1" w:rsidRDefault="00D822E1" w:rsidP="00D822E1">
      <w:pPr>
        <w:numPr>
          <w:ilvl w:val="0"/>
          <w:numId w:val="2"/>
        </w:numPr>
        <w:rPr>
          <w:rFonts w:ascii="Arial" w:hAnsi="Arial" w:cs="Arial"/>
        </w:rPr>
      </w:pPr>
      <w:r>
        <w:rPr>
          <w:rFonts w:ascii="Arial" w:hAnsi="Arial" w:cs="Arial"/>
        </w:rPr>
        <w:t>Identifying level of acquisition priority for each sub-</w:t>
      </w:r>
      <w:r w:rsidR="00CB79BD">
        <w:rPr>
          <w:rFonts w:ascii="Arial" w:hAnsi="Arial" w:cs="Arial"/>
        </w:rPr>
        <w:t>sector based upon the rationale</w:t>
      </w:r>
    </w:p>
    <w:p w:rsidR="00221579" w:rsidRDefault="00221579" w:rsidP="00221579">
      <w:pPr>
        <w:rPr>
          <w:rFonts w:ascii="Arial" w:hAnsi="Arial" w:cs="Arial"/>
        </w:rPr>
      </w:pPr>
    </w:p>
    <w:p w:rsidR="00221579" w:rsidRDefault="00FA20DD" w:rsidP="0011640F">
      <w:pPr>
        <w:pStyle w:val="Heading2"/>
      </w:pPr>
      <w:bookmarkStart w:id="12" w:name="_Toc467489239"/>
      <w:r>
        <w:t>Labour</w:t>
      </w:r>
      <w:r w:rsidR="00221579">
        <w:t xml:space="preserve"> Sub-sectors:</w:t>
      </w:r>
      <w:bookmarkEnd w:id="12"/>
    </w:p>
    <w:p w:rsidR="00221579" w:rsidRDefault="00221579" w:rsidP="00221579">
      <w:pPr>
        <w:rPr>
          <w:rFonts w:ascii="Arial" w:hAnsi="Arial" w:cs="Arial"/>
        </w:rPr>
      </w:pPr>
      <w:r>
        <w:rPr>
          <w:rFonts w:ascii="Arial" w:hAnsi="Arial" w:cs="Arial"/>
        </w:rPr>
        <w:t xml:space="preserve">For the purposes of analysis, the activities within the </w:t>
      </w:r>
      <w:r w:rsidR="006A4DA7">
        <w:rPr>
          <w:rFonts w:ascii="Arial" w:hAnsi="Arial" w:cs="Arial"/>
        </w:rPr>
        <w:t>l</w:t>
      </w:r>
      <w:r w:rsidR="00FA20DD">
        <w:rPr>
          <w:rFonts w:ascii="Arial" w:hAnsi="Arial" w:cs="Arial"/>
        </w:rPr>
        <w:t>abour</w:t>
      </w:r>
      <w:r w:rsidR="006A4DA7">
        <w:rPr>
          <w:rFonts w:ascii="Arial" w:hAnsi="Arial" w:cs="Arial"/>
        </w:rPr>
        <w:t xml:space="preserve"> s</w:t>
      </w:r>
      <w:r>
        <w:rPr>
          <w:rFonts w:ascii="Arial" w:hAnsi="Arial" w:cs="Arial"/>
        </w:rPr>
        <w:t>ector have been divided into the following sub-sectors</w:t>
      </w:r>
      <w:r w:rsidR="00981E95">
        <w:rPr>
          <w:rFonts w:ascii="Arial" w:hAnsi="Arial" w:cs="Arial"/>
        </w:rPr>
        <w:t xml:space="preserve"> </w:t>
      </w:r>
      <w:r>
        <w:rPr>
          <w:rFonts w:ascii="Arial" w:hAnsi="Arial" w:cs="Arial"/>
        </w:rPr>
        <w:t>in Appendix A.</w:t>
      </w:r>
    </w:p>
    <w:p w:rsidR="00221579" w:rsidRDefault="00221579" w:rsidP="00221579">
      <w:pPr>
        <w:rPr>
          <w:rFonts w:ascii="Arial" w:hAnsi="Arial" w:cs="Arial"/>
        </w:rPr>
      </w:pPr>
    </w:p>
    <w:p w:rsidR="00696C80" w:rsidRPr="00BF2CF0" w:rsidRDefault="00696C80" w:rsidP="00696C80">
      <w:pPr>
        <w:numPr>
          <w:ilvl w:val="0"/>
          <w:numId w:val="3"/>
        </w:numPr>
        <w:rPr>
          <w:rFonts w:ascii="Arial" w:hAnsi="Arial" w:cs="Arial"/>
        </w:rPr>
      </w:pPr>
      <w:r w:rsidRPr="00BF2CF0">
        <w:rPr>
          <w:rFonts w:ascii="Arial" w:hAnsi="Arial" w:cs="Arial"/>
        </w:rPr>
        <w:t>Labour union organizations</w:t>
      </w:r>
    </w:p>
    <w:p w:rsidR="00696C80" w:rsidRPr="00BF2CF0" w:rsidRDefault="00696C80" w:rsidP="00696C80">
      <w:pPr>
        <w:numPr>
          <w:ilvl w:val="0"/>
          <w:numId w:val="3"/>
        </w:numPr>
        <w:rPr>
          <w:rFonts w:ascii="Arial" w:hAnsi="Arial" w:cs="Arial"/>
        </w:rPr>
      </w:pPr>
      <w:r w:rsidRPr="00BF2CF0">
        <w:rPr>
          <w:rFonts w:ascii="Arial" w:hAnsi="Arial" w:cs="Arial"/>
        </w:rPr>
        <w:t>Employers’ organizations</w:t>
      </w:r>
    </w:p>
    <w:p w:rsidR="00696C80" w:rsidRPr="00BF2CF0" w:rsidRDefault="00696C80" w:rsidP="00696C80">
      <w:pPr>
        <w:numPr>
          <w:ilvl w:val="0"/>
          <w:numId w:val="3"/>
        </w:numPr>
        <w:rPr>
          <w:rFonts w:ascii="Arial" w:hAnsi="Arial" w:cs="Arial"/>
        </w:rPr>
      </w:pPr>
      <w:r w:rsidRPr="00BF2CF0">
        <w:rPr>
          <w:rFonts w:ascii="Arial" w:hAnsi="Arial" w:cs="Arial"/>
        </w:rPr>
        <w:t>Workers’ rights organizations</w:t>
      </w:r>
    </w:p>
    <w:p w:rsidR="00696C80" w:rsidRPr="00BF2CF0" w:rsidRDefault="00EB71F8" w:rsidP="00696C80">
      <w:pPr>
        <w:numPr>
          <w:ilvl w:val="0"/>
          <w:numId w:val="3"/>
        </w:numPr>
        <w:rPr>
          <w:rFonts w:ascii="Arial" w:hAnsi="Arial" w:cs="Arial"/>
        </w:rPr>
      </w:pPr>
      <w:r>
        <w:rPr>
          <w:rFonts w:ascii="Arial" w:hAnsi="Arial" w:cs="Arial"/>
        </w:rPr>
        <w:t>Labour</w:t>
      </w:r>
      <w:r w:rsidR="00696C80" w:rsidRPr="00BF2CF0">
        <w:rPr>
          <w:rFonts w:ascii="Arial" w:hAnsi="Arial" w:cs="Arial"/>
        </w:rPr>
        <w:t xml:space="preserve"> activists (individuals)</w:t>
      </w:r>
    </w:p>
    <w:p w:rsidR="00696C80" w:rsidRPr="00BF2CF0" w:rsidRDefault="00696C80" w:rsidP="00696C80">
      <w:pPr>
        <w:numPr>
          <w:ilvl w:val="0"/>
          <w:numId w:val="3"/>
        </w:numPr>
        <w:rPr>
          <w:rFonts w:ascii="Arial" w:hAnsi="Arial" w:cs="Arial"/>
        </w:rPr>
      </w:pPr>
      <w:r w:rsidRPr="00BF2CF0">
        <w:rPr>
          <w:rFonts w:ascii="Arial" w:hAnsi="Arial" w:cs="Arial"/>
        </w:rPr>
        <w:t>Workers’ support organizations</w:t>
      </w:r>
    </w:p>
    <w:p w:rsidR="00696C80" w:rsidRPr="00BF2CF0" w:rsidRDefault="00696C80" w:rsidP="00696C80">
      <w:pPr>
        <w:numPr>
          <w:ilvl w:val="0"/>
          <w:numId w:val="3"/>
        </w:numPr>
        <w:rPr>
          <w:rFonts w:ascii="Arial" w:hAnsi="Arial" w:cs="Arial"/>
        </w:rPr>
      </w:pPr>
      <w:r w:rsidRPr="00BF2CF0">
        <w:rPr>
          <w:rFonts w:ascii="Arial" w:hAnsi="Arial" w:cs="Arial"/>
        </w:rPr>
        <w:t>Facilitators / mediators</w:t>
      </w:r>
    </w:p>
    <w:p w:rsidR="00696C80" w:rsidRPr="00BF2CF0" w:rsidRDefault="00696C80" w:rsidP="00696C80">
      <w:pPr>
        <w:numPr>
          <w:ilvl w:val="0"/>
          <w:numId w:val="3"/>
        </w:numPr>
        <w:rPr>
          <w:rFonts w:ascii="Arial" w:hAnsi="Arial" w:cs="Arial"/>
        </w:rPr>
      </w:pPr>
      <w:r w:rsidRPr="00BF2CF0">
        <w:rPr>
          <w:rFonts w:ascii="Arial" w:hAnsi="Arial" w:cs="Arial"/>
        </w:rPr>
        <w:t>Workers’ health and safety organizations</w:t>
      </w:r>
    </w:p>
    <w:p w:rsidR="00EE4365" w:rsidRDefault="00EE4365" w:rsidP="00FE2E1B">
      <w:pPr>
        <w:rPr>
          <w:rFonts w:ascii="Arial" w:hAnsi="Arial" w:cs="Arial"/>
        </w:rPr>
      </w:pPr>
    </w:p>
    <w:p w:rsidR="004F53E8" w:rsidRDefault="004F53E8" w:rsidP="0011640F">
      <w:pPr>
        <w:pStyle w:val="Heading2"/>
      </w:pPr>
      <w:bookmarkStart w:id="13" w:name="_Toc467489240"/>
      <w:r>
        <w:t>Government Functional Linkages</w:t>
      </w:r>
      <w:r w:rsidR="00696C80">
        <w:t>:</w:t>
      </w:r>
      <w:bookmarkEnd w:id="13"/>
    </w:p>
    <w:p w:rsidR="0046119A" w:rsidRDefault="00696C80" w:rsidP="00696C80">
      <w:pPr>
        <w:rPr>
          <w:rFonts w:ascii="Arial" w:hAnsi="Arial" w:cs="Arial"/>
          <w:bCs/>
        </w:rPr>
      </w:pPr>
      <w:r w:rsidRPr="001D20E6">
        <w:rPr>
          <w:rFonts w:ascii="Arial" w:hAnsi="Arial" w:cs="Arial"/>
          <w:bCs/>
        </w:rPr>
        <w:t>The</w:t>
      </w:r>
      <w:r>
        <w:rPr>
          <w:rFonts w:ascii="Arial" w:hAnsi="Arial" w:cs="Arial"/>
          <w:bCs/>
        </w:rPr>
        <w:t xml:space="preserve"> functional linkages provided in the following table are based upon the</w:t>
      </w:r>
      <w:r w:rsidR="0046119A">
        <w:rPr>
          <w:rFonts w:ascii="Arial" w:hAnsi="Arial" w:cs="Arial"/>
          <w:bCs/>
        </w:rPr>
        <w:t xml:space="preserve"> Ministry of Labour and the Ontario Labour Relations Board’s </w:t>
      </w:r>
      <w:r w:rsidR="0022345E">
        <w:rPr>
          <w:rFonts w:ascii="Arial" w:hAnsi="Arial" w:cs="Arial"/>
          <w:bCs/>
        </w:rPr>
        <w:t>cumulative core functions of:</w:t>
      </w:r>
    </w:p>
    <w:p w:rsidR="00696C80" w:rsidRDefault="00696C80" w:rsidP="00696C80">
      <w:pPr>
        <w:rPr>
          <w:rFonts w:ascii="Arial" w:hAnsi="Arial" w:cs="Arial"/>
          <w:lang w:val="en-GB"/>
        </w:rPr>
      </w:pPr>
    </w:p>
    <w:p w:rsidR="00696C80" w:rsidRPr="00331141" w:rsidRDefault="00696C80" w:rsidP="00696C80">
      <w:pPr>
        <w:numPr>
          <w:ilvl w:val="0"/>
          <w:numId w:val="11"/>
        </w:numPr>
        <w:rPr>
          <w:rFonts w:ascii="Arial" w:hAnsi="Arial" w:cs="Arial"/>
          <w:lang w:val="en-GB"/>
        </w:rPr>
      </w:pPr>
      <w:r w:rsidRPr="00331141">
        <w:rPr>
          <w:rFonts w:ascii="Arial" w:hAnsi="Arial" w:cs="Arial"/>
          <w:lang w:val="en-GB"/>
        </w:rPr>
        <w:t>Ensuring employment rights and responsibilities</w:t>
      </w:r>
    </w:p>
    <w:p w:rsidR="00696C80" w:rsidRPr="00331141" w:rsidRDefault="00696C80" w:rsidP="00696C80">
      <w:pPr>
        <w:numPr>
          <w:ilvl w:val="0"/>
          <w:numId w:val="11"/>
        </w:numPr>
        <w:rPr>
          <w:rFonts w:ascii="Arial" w:hAnsi="Arial" w:cs="Arial"/>
          <w:lang w:val="en-GB"/>
        </w:rPr>
      </w:pPr>
      <w:r w:rsidRPr="00331141">
        <w:rPr>
          <w:rFonts w:ascii="Arial" w:hAnsi="Arial" w:cs="Arial"/>
          <w:lang w:val="en-GB"/>
        </w:rPr>
        <w:t>Promoting occupational health and safety</w:t>
      </w:r>
    </w:p>
    <w:p w:rsidR="00696C80" w:rsidRPr="00331141" w:rsidRDefault="00696C80" w:rsidP="00696C80">
      <w:pPr>
        <w:numPr>
          <w:ilvl w:val="0"/>
          <w:numId w:val="11"/>
        </w:numPr>
        <w:rPr>
          <w:rFonts w:ascii="Arial" w:hAnsi="Arial" w:cs="Arial"/>
          <w:lang w:val="en-GB"/>
        </w:rPr>
      </w:pPr>
      <w:r w:rsidRPr="00331141">
        <w:rPr>
          <w:rFonts w:ascii="Arial" w:hAnsi="Arial" w:cs="Arial"/>
          <w:lang w:val="en-GB"/>
        </w:rPr>
        <w:t>Promoting and maintaining stable labour relations</w:t>
      </w:r>
    </w:p>
    <w:p w:rsidR="00696C80" w:rsidRPr="00331141" w:rsidRDefault="00696C80" w:rsidP="00696C80">
      <w:pPr>
        <w:pStyle w:val="ListParagraph"/>
        <w:numPr>
          <w:ilvl w:val="0"/>
          <w:numId w:val="11"/>
        </w:numPr>
        <w:rPr>
          <w:rFonts w:ascii="Arial" w:hAnsi="Arial" w:cs="Arial"/>
          <w:lang w:val="en-GB"/>
        </w:rPr>
      </w:pPr>
      <w:r w:rsidRPr="00331141">
        <w:rPr>
          <w:rFonts w:ascii="Arial" w:hAnsi="Arial" w:cs="Arial"/>
          <w:lang w:val="en-GB"/>
        </w:rPr>
        <w:t>Providing executive and management support to the Board</w:t>
      </w:r>
    </w:p>
    <w:p w:rsidR="00696C80" w:rsidRPr="00331141" w:rsidRDefault="00696C80" w:rsidP="00696C80">
      <w:pPr>
        <w:pStyle w:val="ListParagraph"/>
        <w:numPr>
          <w:ilvl w:val="0"/>
          <w:numId w:val="11"/>
        </w:numPr>
        <w:rPr>
          <w:rFonts w:ascii="Arial" w:hAnsi="Arial" w:cs="Arial"/>
          <w:lang w:val="en-GB"/>
        </w:rPr>
      </w:pPr>
      <w:r w:rsidRPr="00331141">
        <w:rPr>
          <w:rFonts w:ascii="Arial" w:hAnsi="Arial" w:cs="Arial"/>
          <w:lang w:val="en-GB"/>
        </w:rPr>
        <w:t>Providing mediation services</w:t>
      </w:r>
    </w:p>
    <w:p w:rsidR="00696C80" w:rsidRPr="00331141" w:rsidRDefault="00696C80" w:rsidP="00696C80">
      <w:pPr>
        <w:pStyle w:val="ListParagraph"/>
        <w:numPr>
          <w:ilvl w:val="0"/>
          <w:numId w:val="11"/>
        </w:numPr>
        <w:rPr>
          <w:rFonts w:ascii="Arial" w:hAnsi="Arial" w:cs="Arial"/>
          <w:lang w:val="en-GB"/>
        </w:rPr>
      </w:pPr>
      <w:r w:rsidRPr="00331141">
        <w:rPr>
          <w:rFonts w:ascii="Arial" w:hAnsi="Arial" w:cs="Arial"/>
          <w:lang w:val="en-GB"/>
        </w:rPr>
        <w:t>Providing adjudication services</w:t>
      </w:r>
    </w:p>
    <w:p w:rsidR="00EB2FEC" w:rsidRPr="00235670" w:rsidRDefault="00696C80" w:rsidP="009857E7">
      <w:pPr>
        <w:pStyle w:val="ListParagraph"/>
        <w:numPr>
          <w:ilvl w:val="0"/>
          <w:numId w:val="11"/>
        </w:numPr>
        <w:rPr>
          <w:rFonts w:ascii="Arial" w:hAnsi="Arial" w:cs="Arial"/>
          <w:lang w:val="en-GB"/>
        </w:rPr>
      </w:pPr>
      <w:r w:rsidRPr="00331141">
        <w:rPr>
          <w:rFonts w:ascii="Arial" w:hAnsi="Arial" w:cs="Arial"/>
          <w:lang w:val="en-GB"/>
        </w:rPr>
        <w:t>Providing reconsideration of Board decisions</w:t>
      </w:r>
    </w:p>
    <w:p w:rsidR="00EB2FEC" w:rsidRDefault="00EB2FEC" w:rsidP="009857E7">
      <w:pPr>
        <w:rPr>
          <w:rFonts w:ascii="Arial" w:hAnsi="Arial" w:cs="Arial"/>
          <w:sz w:val="40"/>
          <w:szCs w:val="40"/>
        </w:rPr>
      </w:pPr>
    </w:p>
    <w:p w:rsidR="0006122E" w:rsidRDefault="0006122E" w:rsidP="009857E7">
      <w:pPr>
        <w:rPr>
          <w:rFonts w:ascii="Arial" w:hAnsi="Arial" w:cs="Arial"/>
          <w:sz w:val="40"/>
          <w:szCs w:val="40"/>
        </w:rPr>
      </w:pPr>
      <w:r>
        <w:rPr>
          <w:rFonts w:ascii="Arial" w:hAnsi="Arial" w:cs="Arial"/>
          <w:sz w:val="40"/>
          <w:szCs w:val="40"/>
        </w:rPr>
        <w:br w:type="page"/>
      </w:r>
    </w:p>
    <w:p w:rsidR="0006122E" w:rsidRDefault="0006122E" w:rsidP="009857E7">
      <w:pPr>
        <w:rPr>
          <w:rFonts w:ascii="Arial" w:hAnsi="Arial" w:cs="Arial"/>
          <w:sz w:val="40"/>
          <w:szCs w:val="40"/>
        </w:rPr>
      </w:pPr>
    </w:p>
    <w:p w:rsidR="0006122E" w:rsidRDefault="0006122E" w:rsidP="009857E7">
      <w:pPr>
        <w:rPr>
          <w:rFonts w:ascii="Arial" w:hAnsi="Arial" w:cs="Arial"/>
          <w:sz w:val="40"/>
          <w:szCs w:val="40"/>
        </w:rPr>
      </w:pPr>
    </w:p>
    <w:p w:rsidR="007A470B" w:rsidRDefault="0006122E" w:rsidP="0011640F">
      <w:pPr>
        <w:pStyle w:val="Heading1"/>
      </w:pPr>
      <w:bookmarkStart w:id="14" w:name="_Toc467489241"/>
      <w:r w:rsidRPr="007A470B">
        <w:t>Appendix A</w:t>
      </w:r>
      <w:r>
        <w:t xml:space="preserve">: </w:t>
      </w:r>
      <w:r w:rsidR="007A470B">
        <w:t xml:space="preserve">Analysis of </w:t>
      </w:r>
      <w:r w:rsidR="00696C80">
        <w:t>Labour</w:t>
      </w:r>
      <w:r w:rsidR="007A470B" w:rsidRPr="007A470B">
        <w:t xml:space="preserve"> S</w:t>
      </w:r>
      <w:r>
        <w:t>ub-sectors</w:t>
      </w:r>
      <w:bookmarkEnd w:id="14"/>
    </w:p>
    <w:p w:rsidR="001C4E13" w:rsidRDefault="001C4E13" w:rsidP="009857E7">
      <w:pPr>
        <w:rPr>
          <w:rFonts w:ascii="Arial" w:hAnsi="Arial" w:cs="Arial"/>
          <w:b/>
          <w:sz w:val="40"/>
          <w:szCs w:val="40"/>
        </w:rPr>
      </w:pPr>
    </w:p>
    <w:p w:rsidR="001C4E13" w:rsidRPr="000705AC" w:rsidRDefault="001C4E13" w:rsidP="001C4E13">
      <w:pPr>
        <w:rPr>
          <w:rFonts w:ascii="Arial" w:hAnsi="Arial" w:cs="Arial"/>
          <w:b/>
          <w:color w:val="808080"/>
          <w:lang w:val="en-GB"/>
        </w:rPr>
        <w:sectPr w:rsidR="001C4E13" w:rsidRPr="000705AC" w:rsidSect="005B143A">
          <w:footerReference w:type="default" r:id="rId9"/>
          <w:headerReference w:type="first" r:id="rId10"/>
          <w:footerReference w:type="first" r:id="rId11"/>
          <w:pgSz w:w="12240" w:h="15840"/>
          <w:pgMar w:top="1440" w:right="1800" w:bottom="1440" w:left="180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960"/>
        <w:gridCol w:w="1528"/>
        <w:gridCol w:w="2126"/>
        <w:gridCol w:w="2547"/>
        <w:gridCol w:w="2131"/>
        <w:gridCol w:w="2409"/>
      </w:tblGrid>
      <w:tr w:rsidR="007A470B" w:rsidRPr="000365F4" w:rsidTr="00EB71F8">
        <w:trPr>
          <w:cantSplit/>
          <w:tblHeader/>
        </w:trPr>
        <w:tc>
          <w:tcPr>
            <w:tcW w:w="1682" w:type="dxa"/>
            <w:shd w:val="clear" w:color="auto" w:fill="auto"/>
          </w:tcPr>
          <w:p w:rsidR="00FD61D1" w:rsidRPr="000365F4" w:rsidRDefault="007A470B" w:rsidP="00CF722E">
            <w:pPr>
              <w:rPr>
                <w:rFonts w:ascii="Arial" w:hAnsi="Arial" w:cs="Arial"/>
                <w:b/>
                <w:bCs/>
                <w:sz w:val="20"/>
                <w:szCs w:val="20"/>
              </w:rPr>
            </w:pPr>
            <w:r>
              <w:rPr>
                <w:rFonts w:ascii="Arial" w:hAnsi="Arial" w:cs="Arial"/>
                <w:b/>
                <w:bCs/>
                <w:sz w:val="20"/>
                <w:szCs w:val="20"/>
              </w:rPr>
              <w:lastRenderedPageBreak/>
              <w:t>Sub-Sector</w:t>
            </w:r>
          </w:p>
        </w:tc>
        <w:tc>
          <w:tcPr>
            <w:tcW w:w="1960" w:type="dxa"/>
            <w:shd w:val="clear" w:color="auto" w:fill="auto"/>
          </w:tcPr>
          <w:p w:rsidR="00FD61D1" w:rsidRPr="000365F4" w:rsidRDefault="007A470B" w:rsidP="007A470B">
            <w:pPr>
              <w:rPr>
                <w:rFonts w:ascii="Arial" w:hAnsi="Arial" w:cs="Arial"/>
                <w:b/>
                <w:bCs/>
                <w:sz w:val="20"/>
                <w:szCs w:val="20"/>
              </w:rPr>
            </w:pPr>
            <w:r>
              <w:rPr>
                <w:rFonts w:ascii="Arial" w:hAnsi="Arial" w:cs="Arial"/>
                <w:b/>
                <w:bCs/>
                <w:sz w:val="20"/>
                <w:szCs w:val="20"/>
              </w:rPr>
              <w:t>Sub-S</w:t>
            </w:r>
            <w:r w:rsidR="00FD61D1" w:rsidRPr="000365F4">
              <w:rPr>
                <w:rFonts w:ascii="Arial" w:hAnsi="Arial" w:cs="Arial"/>
                <w:b/>
                <w:bCs/>
                <w:sz w:val="20"/>
                <w:szCs w:val="20"/>
              </w:rPr>
              <w:t>ector description</w:t>
            </w:r>
          </w:p>
        </w:tc>
        <w:tc>
          <w:tcPr>
            <w:tcW w:w="1528" w:type="dxa"/>
            <w:shd w:val="clear" w:color="auto" w:fill="auto"/>
          </w:tcPr>
          <w:p w:rsidR="00FD61D1" w:rsidRPr="000365F4" w:rsidRDefault="007A470B" w:rsidP="00CF722E">
            <w:pPr>
              <w:rPr>
                <w:rFonts w:ascii="Arial" w:hAnsi="Arial" w:cs="Arial"/>
                <w:b/>
                <w:bCs/>
                <w:sz w:val="20"/>
                <w:szCs w:val="20"/>
              </w:rPr>
            </w:pPr>
            <w:r>
              <w:rPr>
                <w:rFonts w:ascii="Arial" w:hAnsi="Arial" w:cs="Arial"/>
                <w:b/>
                <w:bCs/>
                <w:sz w:val="20"/>
                <w:szCs w:val="20"/>
              </w:rPr>
              <w:t xml:space="preserve">Related </w:t>
            </w:r>
            <w:r w:rsidR="00FD61D1" w:rsidRPr="000365F4">
              <w:rPr>
                <w:rFonts w:ascii="Arial" w:hAnsi="Arial" w:cs="Arial"/>
                <w:b/>
                <w:bCs/>
                <w:sz w:val="20"/>
                <w:szCs w:val="20"/>
              </w:rPr>
              <w:t xml:space="preserve">Government Function and responsible </w:t>
            </w:r>
            <w:r>
              <w:rPr>
                <w:rFonts w:ascii="Arial" w:hAnsi="Arial" w:cs="Arial"/>
                <w:b/>
                <w:bCs/>
                <w:sz w:val="20"/>
                <w:szCs w:val="20"/>
              </w:rPr>
              <w:t xml:space="preserve">Ontario </w:t>
            </w:r>
            <w:r w:rsidR="00FD61D1" w:rsidRPr="000365F4">
              <w:rPr>
                <w:rFonts w:ascii="Arial" w:hAnsi="Arial" w:cs="Arial"/>
                <w:b/>
                <w:bCs/>
                <w:sz w:val="20"/>
                <w:szCs w:val="20"/>
              </w:rPr>
              <w:t>ministry</w:t>
            </w:r>
          </w:p>
        </w:tc>
        <w:tc>
          <w:tcPr>
            <w:tcW w:w="2126" w:type="dxa"/>
            <w:shd w:val="clear" w:color="auto" w:fill="auto"/>
          </w:tcPr>
          <w:p w:rsidR="00FD61D1" w:rsidRPr="000365F4" w:rsidRDefault="00FD61D1" w:rsidP="00CF722E">
            <w:pPr>
              <w:rPr>
                <w:rFonts w:ascii="Arial" w:hAnsi="Arial" w:cs="Arial"/>
                <w:b/>
                <w:bCs/>
                <w:sz w:val="20"/>
                <w:szCs w:val="20"/>
              </w:rPr>
            </w:pPr>
            <w:r w:rsidRPr="000365F4">
              <w:rPr>
                <w:rFonts w:ascii="Arial" w:hAnsi="Arial" w:cs="Arial"/>
                <w:b/>
                <w:bCs/>
                <w:sz w:val="20"/>
                <w:szCs w:val="20"/>
              </w:rPr>
              <w:t>Related Archives of Ontario private holdings (</w:t>
            </w:r>
            <w:r w:rsidR="007A470B">
              <w:rPr>
                <w:rFonts w:ascii="Arial" w:hAnsi="Arial" w:cs="Arial"/>
                <w:b/>
                <w:bCs/>
                <w:sz w:val="20"/>
                <w:szCs w:val="20"/>
              </w:rPr>
              <w:t>containing records 1980-and later</w:t>
            </w:r>
            <w:r w:rsidRPr="000365F4">
              <w:rPr>
                <w:rFonts w:ascii="Arial" w:hAnsi="Arial" w:cs="Arial"/>
                <w:b/>
                <w:bCs/>
                <w:sz w:val="20"/>
                <w:szCs w:val="20"/>
              </w:rPr>
              <w:t>)</w:t>
            </w:r>
          </w:p>
        </w:tc>
        <w:tc>
          <w:tcPr>
            <w:tcW w:w="2547" w:type="dxa"/>
            <w:shd w:val="clear" w:color="auto" w:fill="auto"/>
          </w:tcPr>
          <w:p w:rsidR="00FD61D1" w:rsidRPr="000365F4" w:rsidRDefault="007A470B" w:rsidP="00CF722E">
            <w:pPr>
              <w:rPr>
                <w:rFonts w:ascii="Arial" w:hAnsi="Arial" w:cs="Arial"/>
                <w:b/>
                <w:bCs/>
                <w:sz w:val="20"/>
                <w:szCs w:val="20"/>
              </w:rPr>
            </w:pPr>
            <w:r>
              <w:rPr>
                <w:rFonts w:ascii="Arial" w:hAnsi="Arial" w:cs="Arial"/>
                <w:b/>
                <w:bCs/>
                <w:sz w:val="20"/>
                <w:szCs w:val="20"/>
              </w:rPr>
              <w:t xml:space="preserve">Sub-Sector </w:t>
            </w:r>
            <w:r w:rsidR="00FD61D1" w:rsidRPr="000365F4">
              <w:rPr>
                <w:rFonts w:ascii="Arial" w:hAnsi="Arial" w:cs="Arial"/>
                <w:b/>
                <w:bCs/>
                <w:sz w:val="20"/>
                <w:szCs w:val="20"/>
              </w:rPr>
              <w:t>appraisal rationale</w:t>
            </w:r>
          </w:p>
        </w:tc>
        <w:tc>
          <w:tcPr>
            <w:tcW w:w="2131" w:type="dxa"/>
            <w:shd w:val="clear" w:color="auto" w:fill="auto"/>
          </w:tcPr>
          <w:p w:rsidR="00FD61D1" w:rsidRPr="000365F4" w:rsidRDefault="000C1451" w:rsidP="00CF722E">
            <w:pPr>
              <w:rPr>
                <w:rFonts w:ascii="Arial" w:hAnsi="Arial" w:cs="Arial"/>
                <w:b/>
                <w:bCs/>
                <w:sz w:val="20"/>
                <w:szCs w:val="20"/>
              </w:rPr>
            </w:pPr>
            <w:r>
              <w:rPr>
                <w:rFonts w:ascii="Arial" w:hAnsi="Arial" w:cs="Arial"/>
                <w:b/>
                <w:bCs/>
                <w:sz w:val="20"/>
                <w:szCs w:val="20"/>
              </w:rPr>
              <w:t>Acquisitions</w:t>
            </w:r>
            <w:r w:rsidR="00FD61D1" w:rsidRPr="000365F4">
              <w:rPr>
                <w:rFonts w:ascii="Arial" w:hAnsi="Arial" w:cs="Arial"/>
                <w:b/>
                <w:bCs/>
                <w:sz w:val="20"/>
                <w:szCs w:val="20"/>
              </w:rPr>
              <w:t xml:space="preserve"> considerations</w:t>
            </w:r>
          </w:p>
        </w:tc>
        <w:tc>
          <w:tcPr>
            <w:tcW w:w="2409" w:type="dxa"/>
            <w:shd w:val="clear" w:color="auto" w:fill="auto"/>
          </w:tcPr>
          <w:p w:rsidR="00FD61D1" w:rsidRPr="000365F4" w:rsidRDefault="00FD61D1" w:rsidP="00CF722E">
            <w:pPr>
              <w:rPr>
                <w:rFonts w:ascii="Arial" w:hAnsi="Arial" w:cs="Arial"/>
                <w:b/>
                <w:bCs/>
                <w:sz w:val="20"/>
                <w:szCs w:val="20"/>
              </w:rPr>
            </w:pPr>
            <w:r w:rsidRPr="000365F4">
              <w:rPr>
                <w:rFonts w:ascii="Arial" w:hAnsi="Arial" w:cs="Arial"/>
                <w:b/>
                <w:bCs/>
                <w:sz w:val="20"/>
                <w:szCs w:val="20"/>
              </w:rPr>
              <w:t>Priority:</w:t>
            </w:r>
            <w:r w:rsidRPr="000365F4">
              <w:rPr>
                <w:rFonts w:ascii="Arial" w:hAnsi="Arial" w:cs="Arial"/>
                <w:b/>
                <w:bCs/>
                <w:sz w:val="20"/>
                <w:szCs w:val="20"/>
              </w:rPr>
              <w:br/>
              <w:t xml:space="preserve">High </w:t>
            </w:r>
            <w:r w:rsidRPr="000365F4">
              <w:rPr>
                <w:rFonts w:ascii="Arial" w:hAnsi="Arial" w:cs="Arial"/>
                <w:sz w:val="20"/>
                <w:szCs w:val="20"/>
              </w:rPr>
              <w:t xml:space="preserve">(AO has little to no documentation), </w:t>
            </w:r>
            <w:r w:rsidRPr="000365F4">
              <w:rPr>
                <w:rFonts w:ascii="Arial" w:hAnsi="Arial" w:cs="Arial"/>
                <w:sz w:val="20"/>
                <w:szCs w:val="20"/>
              </w:rPr>
              <w:br/>
            </w:r>
            <w:r w:rsidRPr="000365F4">
              <w:rPr>
                <w:rFonts w:ascii="Arial" w:hAnsi="Arial" w:cs="Arial"/>
                <w:b/>
                <w:bCs/>
                <w:sz w:val="20"/>
                <w:szCs w:val="20"/>
              </w:rPr>
              <w:t xml:space="preserve">Medium </w:t>
            </w:r>
            <w:r w:rsidRPr="000365F4">
              <w:rPr>
                <w:rFonts w:ascii="Arial" w:hAnsi="Arial" w:cs="Arial"/>
                <w:sz w:val="20"/>
                <w:szCs w:val="20"/>
              </w:rPr>
              <w:t xml:space="preserve">(AO has some documentation), </w:t>
            </w:r>
            <w:r w:rsidRPr="000365F4">
              <w:rPr>
                <w:rFonts w:ascii="Arial" w:hAnsi="Arial" w:cs="Arial"/>
                <w:sz w:val="20"/>
                <w:szCs w:val="20"/>
              </w:rPr>
              <w:br/>
            </w:r>
            <w:r w:rsidRPr="000365F4">
              <w:rPr>
                <w:rFonts w:ascii="Arial" w:hAnsi="Arial" w:cs="Arial"/>
                <w:b/>
                <w:bCs/>
                <w:sz w:val="20"/>
                <w:szCs w:val="20"/>
              </w:rPr>
              <w:t xml:space="preserve">Low </w:t>
            </w:r>
            <w:r w:rsidRPr="000365F4">
              <w:rPr>
                <w:rFonts w:ascii="Arial" w:hAnsi="Arial" w:cs="Arial"/>
                <w:sz w:val="20"/>
                <w:szCs w:val="20"/>
              </w:rPr>
              <w:t>(AO has significant documentation)</w:t>
            </w:r>
          </w:p>
        </w:tc>
      </w:tr>
      <w:tr w:rsidR="007A470B" w:rsidRPr="000365F4" w:rsidTr="00EB71F8">
        <w:trPr>
          <w:cantSplit/>
        </w:trPr>
        <w:tc>
          <w:tcPr>
            <w:tcW w:w="1682" w:type="dxa"/>
            <w:shd w:val="clear" w:color="auto" w:fill="auto"/>
          </w:tcPr>
          <w:p w:rsidR="00FD61D1" w:rsidRPr="0047156B" w:rsidRDefault="00FD2E4F" w:rsidP="00CF722E">
            <w:pPr>
              <w:rPr>
                <w:rFonts w:ascii="Arial" w:hAnsi="Arial" w:cs="Arial"/>
                <w:sz w:val="20"/>
                <w:szCs w:val="20"/>
              </w:rPr>
            </w:pPr>
            <w:r w:rsidRPr="0047156B">
              <w:rPr>
                <w:rFonts w:ascii="Arial" w:hAnsi="Arial" w:cs="Arial"/>
                <w:sz w:val="20"/>
                <w:szCs w:val="20"/>
              </w:rPr>
              <w:t>Labour union organizations</w:t>
            </w:r>
          </w:p>
        </w:tc>
        <w:tc>
          <w:tcPr>
            <w:tcW w:w="1960" w:type="dxa"/>
            <w:shd w:val="clear" w:color="auto" w:fill="auto"/>
          </w:tcPr>
          <w:p w:rsidR="00FD61D1" w:rsidRPr="0047156B" w:rsidRDefault="00670805" w:rsidP="00CF722E">
            <w:pPr>
              <w:rPr>
                <w:rFonts w:ascii="Arial" w:hAnsi="Arial" w:cs="Arial"/>
                <w:sz w:val="20"/>
                <w:szCs w:val="20"/>
              </w:rPr>
            </w:pPr>
            <w:r w:rsidRPr="00670805">
              <w:rPr>
                <w:rFonts w:ascii="Arial" w:hAnsi="Arial" w:cs="Arial"/>
                <w:sz w:val="20"/>
                <w:szCs w:val="20"/>
              </w:rPr>
              <w:t>This sub-sector includes collective organizations of workers whose goals include securing and maintaining right for member workers, better working conditions, higher safety standards, and fair pay and benefits. Organizations may include independent provincial entities or provincial-level chapters/bodies of nationally-focused organizations.</w:t>
            </w:r>
          </w:p>
        </w:tc>
        <w:tc>
          <w:tcPr>
            <w:tcW w:w="1528" w:type="dxa"/>
            <w:shd w:val="clear" w:color="auto" w:fill="auto"/>
          </w:tcPr>
          <w:p w:rsidR="0047156B" w:rsidRPr="0047156B" w:rsidRDefault="00FD2E4F" w:rsidP="00CF722E">
            <w:pPr>
              <w:rPr>
                <w:rFonts w:ascii="Arial" w:hAnsi="Arial" w:cs="Arial"/>
                <w:sz w:val="20"/>
                <w:szCs w:val="20"/>
              </w:rPr>
            </w:pPr>
            <w:r w:rsidRPr="0047156B">
              <w:rPr>
                <w:rFonts w:ascii="Arial" w:hAnsi="Arial" w:cs="Arial"/>
                <w:sz w:val="20"/>
                <w:szCs w:val="20"/>
              </w:rPr>
              <w:t>Ensuring employment rights and responsibiliti</w:t>
            </w:r>
            <w:r w:rsidR="0047156B" w:rsidRPr="0047156B">
              <w:rPr>
                <w:rFonts w:ascii="Arial" w:hAnsi="Arial" w:cs="Arial"/>
                <w:sz w:val="20"/>
                <w:szCs w:val="20"/>
              </w:rPr>
              <w:t>es (Ministry of Labour)</w:t>
            </w:r>
          </w:p>
          <w:p w:rsidR="0047156B" w:rsidRPr="0047156B" w:rsidRDefault="0047156B" w:rsidP="00CF722E">
            <w:pPr>
              <w:rPr>
                <w:rFonts w:ascii="Arial" w:hAnsi="Arial" w:cs="Arial"/>
                <w:sz w:val="20"/>
                <w:szCs w:val="20"/>
              </w:rPr>
            </w:pPr>
          </w:p>
          <w:p w:rsidR="00FD61D1" w:rsidRPr="0047156B" w:rsidRDefault="00FD2E4F" w:rsidP="00CF722E">
            <w:pPr>
              <w:rPr>
                <w:rFonts w:ascii="Arial" w:hAnsi="Arial" w:cs="Arial"/>
                <w:sz w:val="20"/>
                <w:szCs w:val="20"/>
              </w:rPr>
            </w:pPr>
            <w:r w:rsidRPr="0047156B">
              <w:rPr>
                <w:rFonts w:ascii="Arial" w:hAnsi="Arial" w:cs="Arial"/>
                <w:sz w:val="20"/>
                <w:szCs w:val="20"/>
              </w:rPr>
              <w:t>Promoting and maintaining stable labour relations</w:t>
            </w:r>
            <w:r w:rsidR="0047156B" w:rsidRPr="0047156B">
              <w:rPr>
                <w:rFonts w:ascii="Arial" w:hAnsi="Arial" w:cs="Arial"/>
                <w:sz w:val="20"/>
                <w:szCs w:val="20"/>
              </w:rPr>
              <w:t xml:space="preserve"> (Ministry of Labour)</w:t>
            </w:r>
          </w:p>
        </w:tc>
        <w:tc>
          <w:tcPr>
            <w:tcW w:w="2126" w:type="dxa"/>
            <w:shd w:val="clear" w:color="auto" w:fill="auto"/>
          </w:tcPr>
          <w:p w:rsidR="0047156B" w:rsidRDefault="00FD2E4F" w:rsidP="00CF722E">
            <w:pPr>
              <w:rPr>
                <w:rFonts w:ascii="Arial" w:hAnsi="Arial" w:cs="Arial"/>
                <w:sz w:val="20"/>
                <w:szCs w:val="20"/>
              </w:rPr>
            </w:pPr>
            <w:r w:rsidRPr="0047156B">
              <w:rPr>
                <w:rFonts w:ascii="Arial" w:hAnsi="Arial" w:cs="Arial"/>
                <w:sz w:val="20"/>
                <w:szCs w:val="20"/>
              </w:rPr>
              <w:t>F 4180 Onta</w:t>
            </w:r>
            <w:r w:rsidR="0047156B">
              <w:rPr>
                <w:rFonts w:ascii="Arial" w:hAnsi="Arial" w:cs="Arial"/>
                <w:sz w:val="20"/>
                <w:szCs w:val="20"/>
              </w:rPr>
              <w:t>rio Federation of Labour fonds</w:t>
            </w:r>
          </w:p>
          <w:p w:rsidR="0047156B" w:rsidRDefault="0047156B" w:rsidP="00CF722E">
            <w:pPr>
              <w:rPr>
                <w:rFonts w:ascii="Arial" w:hAnsi="Arial" w:cs="Arial"/>
                <w:sz w:val="20"/>
                <w:szCs w:val="20"/>
              </w:rPr>
            </w:pPr>
          </w:p>
          <w:p w:rsidR="0047156B" w:rsidRDefault="0047156B" w:rsidP="00CF722E">
            <w:pPr>
              <w:rPr>
                <w:rFonts w:ascii="Arial" w:hAnsi="Arial" w:cs="Arial"/>
                <w:sz w:val="20"/>
                <w:szCs w:val="20"/>
              </w:rPr>
            </w:pPr>
            <w:r>
              <w:rPr>
                <w:rFonts w:ascii="Arial" w:hAnsi="Arial" w:cs="Arial"/>
                <w:sz w:val="20"/>
                <w:szCs w:val="20"/>
              </w:rPr>
              <w:t>F 1289 CUPE Ontario fonds</w:t>
            </w:r>
          </w:p>
          <w:p w:rsidR="0047156B" w:rsidRDefault="0047156B" w:rsidP="00CF722E">
            <w:pPr>
              <w:rPr>
                <w:rFonts w:ascii="Arial" w:hAnsi="Arial" w:cs="Arial"/>
                <w:sz w:val="20"/>
                <w:szCs w:val="20"/>
              </w:rPr>
            </w:pPr>
          </w:p>
          <w:p w:rsidR="0047156B" w:rsidRDefault="00FD2E4F" w:rsidP="00CF722E">
            <w:pPr>
              <w:rPr>
                <w:rFonts w:ascii="Arial" w:hAnsi="Arial" w:cs="Arial"/>
                <w:sz w:val="20"/>
                <w:szCs w:val="20"/>
              </w:rPr>
            </w:pPr>
            <w:r w:rsidRPr="0047156B">
              <w:rPr>
                <w:rFonts w:ascii="Arial" w:hAnsi="Arial" w:cs="Arial"/>
                <w:sz w:val="20"/>
                <w:szCs w:val="20"/>
              </w:rPr>
              <w:t>F 2185 CAW-Canada (Local 399) fonds</w:t>
            </w:r>
            <w:r w:rsidR="00A30337" w:rsidRPr="0047156B">
              <w:rPr>
                <w:rFonts w:ascii="Arial" w:hAnsi="Arial" w:cs="Arial"/>
                <w:sz w:val="20"/>
                <w:szCs w:val="20"/>
              </w:rPr>
              <w:t xml:space="preserve">; </w:t>
            </w:r>
          </w:p>
          <w:p w:rsidR="0047156B" w:rsidRDefault="0047156B" w:rsidP="00CF722E">
            <w:pPr>
              <w:rPr>
                <w:rFonts w:ascii="Arial" w:hAnsi="Arial" w:cs="Arial"/>
                <w:sz w:val="20"/>
                <w:szCs w:val="20"/>
              </w:rPr>
            </w:pPr>
          </w:p>
          <w:p w:rsidR="0047156B" w:rsidRDefault="00A30337" w:rsidP="00CF722E">
            <w:pPr>
              <w:rPr>
                <w:rFonts w:ascii="Arial" w:hAnsi="Arial" w:cs="Arial"/>
                <w:sz w:val="20"/>
                <w:szCs w:val="20"/>
              </w:rPr>
            </w:pPr>
            <w:r w:rsidRPr="0047156B">
              <w:rPr>
                <w:rFonts w:ascii="Arial" w:hAnsi="Arial" w:cs="Arial"/>
                <w:sz w:val="20"/>
                <w:szCs w:val="20"/>
              </w:rPr>
              <w:t xml:space="preserve">F 1286 CAW-Canada (Local 439) fonds; </w:t>
            </w:r>
          </w:p>
          <w:p w:rsidR="0047156B" w:rsidRDefault="0047156B" w:rsidP="00CF722E">
            <w:pPr>
              <w:rPr>
                <w:rFonts w:ascii="Arial" w:hAnsi="Arial" w:cs="Arial"/>
                <w:sz w:val="20"/>
                <w:szCs w:val="20"/>
              </w:rPr>
            </w:pPr>
          </w:p>
          <w:p w:rsidR="00FD61D1" w:rsidRPr="0047156B" w:rsidRDefault="00A30337" w:rsidP="00CF722E">
            <w:pPr>
              <w:rPr>
                <w:rFonts w:ascii="Arial" w:hAnsi="Arial" w:cs="Arial"/>
                <w:sz w:val="20"/>
                <w:szCs w:val="20"/>
              </w:rPr>
            </w:pPr>
            <w:r w:rsidRPr="0047156B">
              <w:rPr>
                <w:rFonts w:ascii="Arial" w:hAnsi="Arial" w:cs="Arial"/>
                <w:sz w:val="20"/>
                <w:szCs w:val="20"/>
              </w:rPr>
              <w:t>F 1287 International Union, United Automobile, Aerospace and Agricultural Implement Workers of America (Local 584) fonds</w:t>
            </w:r>
          </w:p>
        </w:tc>
        <w:tc>
          <w:tcPr>
            <w:tcW w:w="2547" w:type="dxa"/>
            <w:shd w:val="clear" w:color="auto" w:fill="auto"/>
          </w:tcPr>
          <w:p w:rsidR="00FD61D1" w:rsidRPr="0047156B" w:rsidRDefault="00670805" w:rsidP="00CF722E">
            <w:pPr>
              <w:rPr>
                <w:rFonts w:ascii="Arial" w:hAnsi="Arial" w:cs="Arial"/>
                <w:sz w:val="20"/>
                <w:szCs w:val="20"/>
              </w:rPr>
            </w:pPr>
            <w:r w:rsidRPr="00670805">
              <w:rPr>
                <w:rFonts w:ascii="Arial" w:hAnsi="Arial" w:cs="Arial"/>
                <w:sz w:val="20"/>
                <w:szCs w:val="20"/>
              </w:rPr>
              <w:t>Records from these organizations would document important labour policies, programs, campaigns, and protests in Ontario.</w:t>
            </w:r>
          </w:p>
        </w:tc>
        <w:tc>
          <w:tcPr>
            <w:tcW w:w="2131" w:type="dxa"/>
            <w:shd w:val="clear" w:color="auto" w:fill="auto"/>
          </w:tcPr>
          <w:p w:rsidR="00FD61D1" w:rsidRPr="0047156B" w:rsidRDefault="00FD2E4F" w:rsidP="00A30337">
            <w:pPr>
              <w:rPr>
                <w:rFonts w:ascii="Arial" w:hAnsi="Arial" w:cs="Arial"/>
                <w:sz w:val="20"/>
                <w:szCs w:val="20"/>
              </w:rPr>
            </w:pPr>
            <w:r w:rsidRPr="0047156B">
              <w:rPr>
                <w:rFonts w:ascii="Arial" w:hAnsi="Arial" w:cs="Arial"/>
                <w:sz w:val="20"/>
                <w:szCs w:val="20"/>
              </w:rPr>
              <w:t xml:space="preserve">The AO holds </w:t>
            </w:r>
            <w:r w:rsidR="00A30337" w:rsidRPr="0047156B">
              <w:rPr>
                <w:rFonts w:ascii="Arial" w:hAnsi="Arial" w:cs="Arial"/>
                <w:sz w:val="20"/>
                <w:szCs w:val="20"/>
              </w:rPr>
              <w:t>five</w:t>
            </w:r>
            <w:r w:rsidRPr="0047156B">
              <w:rPr>
                <w:rFonts w:ascii="Arial" w:hAnsi="Arial" w:cs="Arial"/>
                <w:sz w:val="20"/>
                <w:szCs w:val="20"/>
              </w:rPr>
              <w:t xml:space="preserve"> fonds within this sub-sector for the post-1980 period.</w:t>
            </w:r>
          </w:p>
        </w:tc>
        <w:tc>
          <w:tcPr>
            <w:tcW w:w="2409" w:type="dxa"/>
            <w:shd w:val="clear" w:color="auto" w:fill="auto"/>
          </w:tcPr>
          <w:p w:rsidR="00FD61D1" w:rsidRPr="0047156B" w:rsidRDefault="00EB71F8" w:rsidP="00CF722E">
            <w:pPr>
              <w:rPr>
                <w:rFonts w:ascii="Arial" w:hAnsi="Arial" w:cs="Arial"/>
                <w:sz w:val="20"/>
                <w:szCs w:val="20"/>
              </w:rPr>
            </w:pPr>
            <w:r w:rsidRPr="0047156B">
              <w:rPr>
                <w:rFonts w:ascii="Arial" w:hAnsi="Arial" w:cs="Arial"/>
                <w:sz w:val="20"/>
                <w:szCs w:val="20"/>
              </w:rPr>
              <w:t>MEDIUM</w:t>
            </w:r>
          </w:p>
        </w:tc>
      </w:tr>
      <w:tr w:rsidR="007A470B" w:rsidRPr="000365F4" w:rsidTr="00EB71F8">
        <w:trPr>
          <w:cantSplit/>
        </w:trPr>
        <w:tc>
          <w:tcPr>
            <w:tcW w:w="1682" w:type="dxa"/>
            <w:shd w:val="clear" w:color="auto" w:fill="auto"/>
          </w:tcPr>
          <w:p w:rsidR="00FD61D1" w:rsidRPr="0047156B" w:rsidRDefault="002D6325" w:rsidP="00CF722E">
            <w:pPr>
              <w:rPr>
                <w:rFonts w:ascii="Arial" w:hAnsi="Arial" w:cs="Arial"/>
                <w:sz w:val="20"/>
                <w:szCs w:val="20"/>
              </w:rPr>
            </w:pPr>
            <w:r w:rsidRPr="0047156B">
              <w:rPr>
                <w:rFonts w:ascii="Arial" w:hAnsi="Arial" w:cs="Arial"/>
                <w:sz w:val="20"/>
                <w:szCs w:val="20"/>
              </w:rPr>
              <w:lastRenderedPageBreak/>
              <w:t>Employers' organizations</w:t>
            </w:r>
          </w:p>
        </w:tc>
        <w:tc>
          <w:tcPr>
            <w:tcW w:w="1960" w:type="dxa"/>
            <w:shd w:val="clear" w:color="auto" w:fill="auto"/>
          </w:tcPr>
          <w:p w:rsidR="00FD61D1" w:rsidRPr="0047156B" w:rsidRDefault="00670805" w:rsidP="00CF722E">
            <w:pPr>
              <w:rPr>
                <w:rFonts w:ascii="Arial" w:hAnsi="Arial" w:cs="Arial"/>
                <w:sz w:val="20"/>
                <w:szCs w:val="20"/>
              </w:rPr>
            </w:pPr>
            <w:r w:rsidRPr="00670805">
              <w:rPr>
                <w:rFonts w:ascii="Arial" w:hAnsi="Arial" w:cs="Arial"/>
                <w:sz w:val="20"/>
                <w:szCs w:val="20"/>
              </w:rPr>
              <w:t>This sub-sector includes collective organizations of manufacturers, retailers, or other employers of wage labour, who seek to coordinate the behaviour of their member companies during negotiations with trade unions or government bodies. Organizations may include independent provincial entities or provincial-level chapters/bodies of nationally-focused organizations.</w:t>
            </w:r>
          </w:p>
        </w:tc>
        <w:tc>
          <w:tcPr>
            <w:tcW w:w="1528" w:type="dxa"/>
            <w:shd w:val="clear" w:color="auto" w:fill="auto"/>
          </w:tcPr>
          <w:p w:rsidR="0047156B" w:rsidRPr="0047156B" w:rsidRDefault="00AC6434" w:rsidP="00CF722E">
            <w:pPr>
              <w:rPr>
                <w:rFonts w:ascii="Arial" w:hAnsi="Arial" w:cs="Arial"/>
                <w:sz w:val="20"/>
                <w:szCs w:val="20"/>
              </w:rPr>
            </w:pPr>
            <w:r w:rsidRPr="0047156B">
              <w:rPr>
                <w:rFonts w:ascii="Arial" w:hAnsi="Arial" w:cs="Arial"/>
                <w:sz w:val="20"/>
                <w:szCs w:val="20"/>
              </w:rPr>
              <w:t>Promoting and maintaining stable labour r</w:t>
            </w:r>
            <w:r w:rsidR="0047156B" w:rsidRPr="0047156B">
              <w:rPr>
                <w:rFonts w:ascii="Arial" w:hAnsi="Arial" w:cs="Arial"/>
                <w:sz w:val="20"/>
                <w:szCs w:val="20"/>
              </w:rPr>
              <w:t>elations. (Ministry of Labour)</w:t>
            </w:r>
          </w:p>
          <w:p w:rsidR="0047156B" w:rsidRPr="0047156B" w:rsidRDefault="0047156B" w:rsidP="00CF722E">
            <w:pPr>
              <w:rPr>
                <w:rFonts w:ascii="Arial" w:hAnsi="Arial" w:cs="Arial"/>
                <w:sz w:val="20"/>
                <w:szCs w:val="20"/>
              </w:rPr>
            </w:pPr>
          </w:p>
          <w:p w:rsidR="00FD61D1" w:rsidRPr="0047156B" w:rsidRDefault="00AC6434" w:rsidP="00CF722E">
            <w:pPr>
              <w:rPr>
                <w:rFonts w:ascii="Arial" w:hAnsi="Arial" w:cs="Arial"/>
                <w:sz w:val="20"/>
                <w:szCs w:val="20"/>
              </w:rPr>
            </w:pPr>
            <w:r w:rsidRPr="0047156B">
              <w:rPr>
                <w:rFonts w:ascii="Arial" w:hAnsi="Arial" w:cs="Arial"/>
                <w:sz w:val="20"/>
                <w:szCs w:val="20"/>
              </w:rPr>
              <w:t>Ensuring employment rights and responsibilities (Ministry of Labour)</w:t>
            </w:r>
          </w:p>
        </w:tc>
        <w:tc>
          <w:tcPr>
            <w:tcW w:w="2126"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t>None</w:t>
            </w:r>
          </w:p>
        </w:tc>
        <w:tc>
          <w:tcPr>
            <w:tcW w:w="2547" w:type="dxa"/>
            <w:shd w:val="clear" w:color="auto" w:fill="auto"/>
          </w:tcPr>
          <w:p w:rsidR="00FD61D1" w:rsidRPr="0047156B" w:rsidRDefault="00670805" w:rsidP="00CF722E">
            <w:pPr>
              <w:rPr>
                <w:rFonts w:ascii="Arial" w:hAnsi="Arial" w:cs="Arial"/>
                <w:sz w:val="20"/>
                <w:szCs w:val="20"/>
              </w:rPr>
            </w:pPr>
            <w:r w:rsidRPr="00670805">
              <w:rPr>
                <w:rFonts w:ascii="Arial" w:hAnsi="Arial" w:cs="Arial"/>
                <w:sz w:val="20"/>
                <w:szCs w:val="20"/>
              </w:rPr>
              <w:t>Records of organizations in this sub-sector would document labour policies, programs, campaigns, and disputes from the standpoint of Ontario's employers.</w:t>
            </w:r>
          </w:p>
        </w:tc>
        <w:tc>
          <w:tcPr>
            <w:tcW w:w="2131"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t>The AO does not hold any fonds within this sub-sector for the post-1980 period.</w:t>
            </w:r>
          </w:p>
        </w:tc>
        <w:tc>
          <w:tcPr>
            <w:tcW w:w="2409" w:type="dxa"/>
            <w:shd w:val="clear" w:color="auto" w:fill="auto"/>
          </w:tcPr>
          <w:p w:rsidR="00FD61D1" w:rsidRPr="0047156B" w:rsidRDefault="00FD61D1" w:rsidP="00CF722E">
            <w:pPr>
              <w:rPr>
                <w:rFonts w:ascii="Arial" w:hAnsi="Arial" w:cs="Arial"/>
                <w:sz w:val="20"/>
                <w:szCs w:val="20"/>
              </w:rPr>
            </w:pPr>
            <w:r w:rsidRPr="0047156B">
              <w:rPr>
                <w:rFonts w:ascii="Arial" w:hAnsi="Arial" w:cs="Arial"/>
                <w:sz w:val="20"/>
                <w:szCs w:val="20"/>
              </w:rPr>
              <w:t>HIGH</w:t>
            </w:r>
          </w:p>
        </w:tc>
      </w:tr>
      <w:tr w:rsidR="007A470B" w:rsidRPr="000365F4" w:rsidTr="00EB71F8">
        <w:trPr>
          <w:cantSplit/>
        </w:trPr>
        <w:tc>
          <w:tcPr>
            <w:tcW w:w="1682"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lastRenderedPageBreak/>
              <w:t>Workers' rights organizations</w:t>
            </w:r>
          </w:p>
        </w:tc>
        <w:tc>
          <w:tcPr>
            <w:tcW w:w="1960" w:type="dxa"/>
            <w:shd w:val="clear" w:color="auto" w:fill="auto"/>
          </w:tcPr>
          <w:p w:rsidR="00FD61D1" w:rsidRPr="0047156B" w:rsidRDefault="00670805" w:rsidP="00CF722E">
            <w:pPr>
              <w:rPr>
                <w:rFonts w:ascii="Arial" w:hAnsi="Arial" w:cs="Arial"/>
                <w:sz w:val="20"/>
                <w:szCs w:val="20"/>
              </w:rPr>
            </w:pPr>
            <w:r w:rsidRPr="00670805">
              <w:rPr>
                <w:rFonts w:ascii="Arial" w:hAnsi="Arial" w:cs="Arial"/>
                <w:sz w:val="20"/>
                <w:szCs w:val="20"/>
              </w:rPr>
              <w:t>This sub-sector includes organizations that lobby for the rights of workers who are not covered by collective agreements and work to promote and protect labour laws and employment rights on behalf of all Ontario's workers.  Examples include legal rights organizations that sue to enforce labour laws, and human rights organizations that work to expose violations of workers' rights.</w:t>
            </w:r>
          </w:p>
        </w:tc>
        <w:tc>
          <w:tcPr>
            <w:tcW w:w="1528"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t>Ensuring employment rights and responsibilities (Ministry of Labour)</w:t>
            </w:r>
          </w:p>
        </w:tc>
        <w:tc>
          <w:tcPr>
            <w:tcW w:w="2126"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t>None</w:t>
            </w:r>
          </w:p>
        </w:tc>
        <w:tc>
          <w:tcPr>
            <w:tcW w:w="2547" w:type="dxa"/>
            <w:shd w:val="clear" w:color="auto" w:fill="auto"/>
          </w:tcPr>
          <w:p w:rsidR="00FD61D1" w:rsidRPr="0047156B" w:rsidRDefault="00670805" w:rsidP="00CF722E">
            <w:pPr>
              <w:rPr>
                <w:rFonts w:ascii="Arial" w:hAnsi="Arial" w:cs="Arial"/>
                <w:sz w:val="20"/>
                <w:szCs w:val="20"/>
              </w:rPr>
            </w:pPr>
            <w:r w:rsidRPr="00670805">
              <w:rPr>
                <w:rFonts w:ascii="Arial" w:hAnsi="Arial" w:cs="Arial"/>
                <w:sz w:val="20"/>
                <w:szCs w:val="20"/>
              </w:rPr>
              <w:t>The records of these organizations document the development and shifts in employment practices in Ontario, as well as the rights and obligations of workers and employers in the province. This sub-sector also documents the experience of vulnerable workers in Ontario, such as migrant workers.</w:t>
            </w:r>
          </w:p>
        </w:tc>
        <w:tc>
          <w:tcPr>
            <w:tcW w:w="2131"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t>The AO does not hold any fonds within this sub-sector for the post-1980 period.</w:t>
            </w:r>
          </w:p>
        </w:tc>
        <w:tc>
          <w:tcPr>
            <w:tcW w:w="2409"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t>HIGH</w:t>
            </w:r>
          </w:p>
        </w:tc>
      </w:tr>
      <w:tr w:rsidR="007A470B" w:rsidRPr="000365F4" w:rsidTr="00EB71F8">
        <w:trPr>
          <w:cantSplit/>
        </w:trPr>
        <w:tc>
          <w:tcPr>
            <w:tcW w:w="1682" w:type="dxa"/>
            <w:shd w:val="clear" w:color="auto" w:fill="auto"/>
          </w:tcPr>
          <w:p w:rsidR="00FD61D1" w:rsidRPr="0047156B" w:rsidRDefault="00EB71F8" w:rsidP="00CF722E">
            <w:pPr>
              <w:rPr>
                <w:rFonts w:ascii="Arial" w:hAnsi="Arial" w:cs="Arial"/>
                <w:sz w:val="20"/>
                <w:szCs w:val="20"/>
              </w:rPr>
            </w:pPr>
            <w:r w:rsidRPr="0047156B">
              <w:rPr>
                <w:rFonts w:ascii="Arial" w:hAnsi="Arial" w:cs="Arial"/>
                <w:sz w:val="20"/>
                <w:szCs w:val="20"/>
              </w:rPr>
              <w:t>Labour</w:t>
            </w:r>
            <w:r w:rsidR="00AC6434" w:rsidRPr="0047156B">
              <w:rPr>
                <w:rFonts w:ascii="Arial" w:hAnsi="Arial" w:cs="Arial"/>
                <w:sz w:val="20"/>
                <w:szCs w:val="20"/>
              </w:rPr>
              <w:t xml:space="preserve"> activists (individuals)</w:t>
            </w:r>
          </w:p>
        </w:tc>
        <w:tc>
          <w:tcPr>
            <w:tcW w:w="1960" w:type="dxa"/>
            <w:shd w:val="clear" w:color="auto" w:fill="auto"/>
          </w:tcPr>
          <w:p w:rsidR="00FD61D1" w:rsidRPr="0047156B" w:rsidRDefault="00670805" w:rsidP="00CF722E">
            <w:pPr>
              <w:rPr>
                <w:rFonts w:ascii="Arial" w:hAnsi="Arial" w:cs="Arial"/>
                <w:sz w:val="20"/>
                <w:szCs w:val="20"/>
              </w:rPr>
            </w:pPr>
            <w:r w:rsidRPr="00670805">
              <w:rPr>
                <w:rFonts w:ascii="Arial" w:hAnsi="Arial" w:cs="Arial"/>
                <w:sz w:val="20"/>
                <w:szCs w:val="20"/>
              </w:rPr>
              <w:t>This sub-sector includes individual workers' rights activists, such as prominent trade unionists, or those working outside of unions.</w:t>
            </w:r>
          </w:p>
        </w:tc>
        <w:tc>
          <w:tcPr>
            <w:tcW w:w="1528"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t>Ensuring employment rights and responsibilities (Ministry of Labour)</w:t>
            </w:r>
          </w:p>
        </w:tc>
        <w:tc>
          <w:tcPr>
            <w:tcW w:w="2126" w:type="dxa"/>
            <w:shd w:val="clear" w:color="auto" w:fill="auto"/>
          </w:tcPr>
          <w:p w:rsidR="0047156B" w:rsidRDefault="0047156B" w:rsidP="00CF722E">
            <w:pPr>
              <w:rPr>
                <w:rFonts w:ascii="Arial" w:hAnsi="Arial" w:cs="Arial"/>
                <w:sz w:val="20"/>
                <w:szCs w:val="20"/>
              </w:rPr>
            </w:pPr>
            <w:r>
              <w:rPr>
                <w:rFonts w:ascii="Arial" w:hAnsi="Arial" w:cs="Arial"/>
                <w:sz w:val="20"/>
                <w:szCs w:val="20"/>
              </w:rPr>
              <w:t>F 4609 Harvey Landon Ladd fonds</w:t>
            </w:r>
            <w:r w:rsidR="00AC6434" w:rsidRPr="0047156B">
              <w:rPr>
                <w:rFonts w:ascii="Arial" w:hAnsi="Arial" w:cs="Arial"/>
                <w:sz w:val="20"/>
                <w:szCs w:val="20"/>
              </w:rPr>
              <w:t xml:space="preserve"> </w:t>
            </w:r>
          </w:p>
          <w:p w:rsidR="0047156B" w:rsidRDefault="0047156B" w:rsidP="00CF722E">
            <w:pPr>
              <w:rPr>
                <w:rFonts w:ascii="Arial" w:hAnsi="Arial" w:cs="Arial"/>
                <w:sz w:val="20"/>
                <w:szCs w:val="20"/>
              </w:rPr>
            </w:pPr>
          </w:p>
          <w:p w:rsidR="0047156B" w:rsidRDefault="0047156B" w:rsidP="00CF722E">
            <w:pPr>
              <w:rPr>
                <w:rFonts w:ascii="Arial" w:hAnsi="Arial" w:cs="Arial"/>
                <w:sz w:val="20"/>
                <w:szCs w:val="20"/>
              </w:rPr>
            </w:pPr>
            <w:r>
              <w:rPr>
                <w:rFonts w:ascii="Arial" w:hAnsi="Arial" w:cs="Arial"/>
                <w:sz w:val="20"/>
                <w:szCs w:val="20"/>
              </w:rPr>
              <w:t>F 2190 D'Arcy Martin fonds</w:t>
            </w:r>
          </w:p>
          <w:p w:rsidR="0047156B" w:rsidRDefault="0047156B" w:rsidP="00CF722E">
            <w:pPr>
              <w:rPr>
                <w:rFonts w:ascii="Arial" w:hAnsi="Arial" w:cs="Arial"/>
                <w:sz w:val="20"/>
                <w:szCs w:val="20"/>
              </w:rPr>
            </w:pPr>
          </w:p>
          <w:p w:rsidR="0047156B" w:rsidRDefault="0047156B" w:rsidP="00CF722E">
            <w:pPr>
              <w:rPr>
                <w:rFonts w:ascii="Arial" w:hAnsi="Arial" w:cs="Arial"/>
                <w:sz w:val="20"/>
                <w:szCs w:val="20"/>
              </w:rPr>
            </w:pPr>
            <w:r>
              <w:rPr>
                <w:rFonts w:ascii="Arial" w:hAnsi="Arial" w:cs="Arial"/>
                <w:sz w:val="20"/>
                <w:szCs w:val="20"/>
              </w:rPr>
              <w:t>F 2157 Leith McMurray fonds</w:t>
            </w:r>
          </w:p>
          <w:p w:rsidR="0047156B" w:rsidRDefault="0047156B" w:rsidP="00CF722E">
            <w:pPr>
              <w:rPr>
                <w:rFonts w:ascii="Arial" w:hAnsi="Arial" w:cs="Arial"/>
                <w:sz w:val="20"/>
                <w:szCs w:val="20"/>
              </w:rPr>
            </w:pPr>
          </w:p>
          <w:p w:rsidR="00FD61D1" w:rsidRPr="0047156B" w:rsidRDefault="00AC6434" w:rsidP="00CF722E">
            <w:pPr>
              <w:rPr>
                <w:rFonts w:ascii="Arial" w:hAnsi="Arial" w:cs="Arial"/>
                <w:sz w:val="20"/>
                <w:szCs w:val="20"/>
              </w:rPr>
            </w:pPr>
            <w:r w:rsidRPr="0047156B">
              <w:rPr>
                <w:rFonts w:ascii="Arial" w:hAnsi="Arial" w:cs="Arial"/>
                <w:sz w:val="20"/>
                <w:szCs w:val="20"/>
              </w:rPr>
              <w:t>F 2076 Alvin D. McCurdy fonds</w:t>
            </w:r>
          </w:p>
        </w:tc>
        <w:tc>
          <w:tcPr>
            <w:tcW w:w="2547" w:type="dxa"/>
            <w:shd w:val="clear" w:color="auto" w:fill="auto"/>
          </w:tcPr>
          <w:p w:rsidR="00FD61D1" w:rsidRPr="0047156B" w:rsidRDefault="00670805" w:rsidP="00AC6434">
            <w:pPr>
              <w:rPr>
                <w:rFonts w:ascii="Arial" w:hAnsi="Arial" w:cs="Arial"/>
                <w:sz w:val="20"/>
                <w:szCs w:val="20"/>
              </w:rPr>
            </w:pPr>
            <w:r w:rsidRPr="00670805">
              <w:rPr>
                <w:rFonts w:ascii="Arial" w:hAnsi="Arial" w:cs="Arial"/>
                <w:sz w:val="20"/>
                <w:szCs w:val="20"/>
              </w:rPr>
              <w:t>Records of these individuals would document their significant contributions in the areas of labour relations, workers' rights, or occupational health and safety.</w:t>
            </w:r>
          </w:p>
        </w:tc>
        <w:tc>
          <w:tcPr>
            <w:tcW w:w="2131" w:type="dxa"/>
            <w:shd w:val="clear" w:color="auto" w:fill="auto"/>
          </w:tcPr>
          <w:p w:rsidR="00FD61D1" w:rsidRPr="0047156B" w:rsidRDefault="00AC6434" w:rsidP="00CF722E">
            <w:pPr>
              <w:rPr>
                <w:rFonts w:ascii="Arial" w:hAnsi="Arial" w:cs="Arial"/>
                <w:sz w:val="20"/>
                <w:szCs w:val="20"/>
              </w:rPr>
            </w:pPr>
            <w:r w:rsidRPr="0047156B">
              <w:rPr>
                <w:rFonts w:ascii="Arial" w:hAnsi="Arial" w:cs="Arial"/>
                <w:sz w:val="20"/>
                <w:szCs w:val="20"/>
              </w:rPr>
              <w:t>The AO holds four fonds within this sub-sector for the post-1980 period.</w:t>
            </w:r>
          </w:p>
        </w:tc>
        <w:tc>
          <w:tcPr>
            <w:tcW w:w="2409" w:type="dxa"/>
            <w:shd w:val="clear" w:color="auto" w:fill="auto"/>
          </w:tcPr>
          <w:p w:rsidR="00FD61D1" w:rsidRPr="0047156B" w:rsidRDefault="00EB71F8" w:rsidP="00CF722E">
            <w:pPr>
              <w:rPr>
                <w:rFonts w:ascii="Arial" w:hAnsi="Arial" w:cs="Arial"/>
                <w:sz w:val="20"/>
                <w:szCs w:val="20"/>
              </w:rPr>
            </w:pPr>
            <w:r w:rsidRPr="0047156B">
              <w:rPr>
                <w:rFonts w:ascii="Arial" w:hAnsi="Arial" w:cs="Arial"/>
                <w:sz w:val="20"/>
                <w:szCs w:val="20"/>
              </w:rPr>
              <w:t>MEDIUM</w:t>
            </w:r>
          </w:p>
        </w:tc>
      </w:tr>
      <w:tr w:rsidR="007A470B" w:rsidRPr="000365F4" w:rsidTr="00EB71F8">
        <w:trPr>
          <w:cantSplit/>
        </w:trPr>
        <w:tc>
          <w:tcPr>
            <w:tcW w:w="1682" w:type="dxa"/>
            <w:shd w:val="clear" w:color="auto" w:fill="auto"/>
          </w:tcPr>
          <w:p w:rsidR="00FD61D1" w:rsidRPr="0047156B" w:rsidRDefault="007876E8" w:rsidP="00CF722E">
            <w:pPr>
              <w:rPr>
                <w:rFonts w:ascii="Arial" w:hAnsi="Arial" w:cs="Arial"/>
                <w:sz w:val="20"/>
                <w:szCs w:val="20"/>
              </w:rPr>
            </w:pPr>
            <w:r w:rsidRPr="0047156B">
              <w:rPr>
                <w:rFonts w:ascii="Arial" w:hAnsi="Arial" w:cs="Arial"/>
                <w:sz w:val="20"/>
                <w:szCs w:val="20"/>
              </w:rPr>
              <w:lastRenderedPageBreak/>
              <w:t>Workers' support organizations</w:t>
            </w:r>
          </w:p>
        </w:tc>
        <w:tc>
          <w:tcPr>
            <w:tcW w:w="1960" w:type="dxa"/>
            <w:shd w:val="clear" w:color="auto" w:fill="auto"/>
          </w:tcPr>
          <w:p w:rsidR="00FD61D1" w:rsidRPr="0047156B" w:rsidRDefault="00670805" w:rsidP="00CF722E">
            <w:pPr>
              <w:rPr>
                <w:rFonts w:ascii="Arial" w:hAnsi="Arial" w:cs="Arial"/>
                <w:sz w:val="20"/>
                <w:szCs w:val="20"/>
              </w:rPr>
            </w:pPr>
            <w:r w:rsidRPr="00670805">
              <w:rPr>
                <w:rFonts w:ascii="Arial" w:hAnsi="Arial" w:cs="Arial"/>
                <w:sz w:val="20"/>
                <w:szCs w:val="20"/>
              </w:rPr>
              <w:t>This sub-sector includes institutions directly involved in the provision of support for workers in conflict with employers, such as those providing legal support for individual workers.</w:t>
            </w:r>
          </w:p>
        </w:tc>
        <w:tc>
          <w:tcPr>
            <w:tcW w:w="1528" w:type="dxa"/>
            <w:shd w:val="clear" w:color="auto" w:fill="auto"/>
          </w:tcPr>
          <w:p w:rsidR="00FD61D1" w:rsidRPr="0047156B" w:rsidRDefault="007876E8" w:rsidP="00CF722E">
            <w:pPr>
              <w:rPr>
                <w:rFonts w:ascii="Arial" w:hAnsi="Arial" w:cs="Arial"/>
                <w:sz w:val="20"/>
                <w:szCs w:val="20"/>
              </w:rPr>
            </w:pPr>
            <w:r w:rsidRPr="0047156B">
              <w:rPr>
                <w:rFonts w:ascii="Arial" w:hAnsi="Arial" w:cs="Arial"/>
                <w:sz w:val="20"/>
                <w:szCs w:val="20"/>
              </w:rPr>
              <w:t>Ensuring employment rights and responsibilities (Ministry of Labour)</w:t>
            </w:r>
          </w:p>
        </w:tc>
        <w:tc>
          <w:tcPr>
            <w:tcW w:w="2126" w:type="dxa"/>
            <w:shd w:val="clear" w:color="auto" w:fill="auto"/>
          </w:tcPr>
          <w:p w:rsidR="00FD61D1" w:rsidRPr="0047156B" w:rsidRDefault="007876E8" w:rsidP="00CF722E">
            <w:pPr>
              <w:rPr>
                <w:rFonts w:ascii="Arial" w:hAnsi="Arial" w:cs="Arial"/>
                <w:sz w:val="20"/>
                <w:szCs w:val="20"/>
              </w:rPr>
            </w:pPr>
            <w:r w:rsidRPr="0047156B">
              <w:rPr>
                <w:rFonts w:ascii="Arial" w:hAnsi="Arial" w:cs="Arial"/>
                <w:sz w:val="20"/>
                <w:szCs w:val="20"/>
              </w:rPr>
              <w:t>None</w:t>
            </w:r>
          </w:p>
        </w:tc>
        <w:tc>
          <w:tcPr>
            <w:tcW w:w="2547" w:type="dxa"/>
            <w:shd w:val="clear" w:color="auto" w:fill="auto"/>
          </w:tcPr>
          <w:p w:rsidR="00FD61D1" w:rsidRPr="0047156B" w:rsidRDefault="00670805" w:rsidP="00670805">
            <w:pPr>
              <w:rPr>
                <w:rFonts w:ascii="Arial" w:hAnsi="Arial" w:cs="Arial"/>
                <w:sz w:val="20"/>
                <w:szCs w:val="20"/>
              </w:rPr>
            </w:pPr>
            <w:r w:rsidRPr="00670805">
              <w:rPr>
                <w:rFonts w:ascii="Arial" w:hAnsi="Arial" w:cs="Arial"/>
                <w:sz w:val="20"/>
                <w:szCs w:val="20"/>
              </w:rPr>
              <w:t>Records of these organizations would document points of friction between labourers and employers and show how labour policy works to support employment rights and responsibilities.</w:t>
            </w:r>
          </w:p>
        </w:tc>
        <w:tc>
          <w:tcPr>
            <w:tcW w:w="2131" w:type="dxa"/>
            <w:shd w:val="clear" w:color="auto" w:fill="auto"/>
          </w:tcPr>
          <w:p w:rsidR="00FD61D1" w:rsidRPr="0047156B" w:rsidRDefault="007876E8" w:rsidP="00CF722E">
            <w:pPr>
              <w:rPr>
                <w:rFonts w:ascii="Arial" w:hAnsi="Arial" w:cs="Arial"/>
                <w:sz w:val="20"/>
                <w:szCs w:val="20"/>
              </w:rPr>
            </w:pPr>
            <w:r w:rsidRPr="0047156B">
              <w:rPr>
                <w:rFonts w:ascii="Arial" w:hAnsi="Arial" w:cs="Arial"/>
                <w:sz w:val="20"/>
                <w:szCs w:val="20"/>
              </w:rPr>
              <w:t>The AO does not hold any fonds within this sub-sector for the post-1980 period.</w:t>
            </w:r>
          </w:p>
        </w:tc>
        <w:tc>
          <w:tcPr>
            <w:tcW w:w="2409" w:type="dxa"/>
            <w:shd w:val="clear" w:color="auto" w:fill="auto"/>
          </w:tcPr>
          <w:p w:rsidR="00FD61D1" w:rsidRPr="0047156B" w:rsidRDefault="007876E8" w:rsidP="00CF722E">
            <w:pPr>
              <w:rPr>
                <w:rFonts w:ascii="Arial" w:hAnsi="Arial" w:cs="Arial"/>
                <w:sz w:val="20"/>
                <w:szCs w:val="20"/>
              </w:rPr>
            </w:pPr>
            <w:r w:rsidRPr="0047156B">
              <w:rPr>
                <w:rFonts w:ascii="Arial" w:hAnsi="Arial" w:cs="Arial"/>
                <w:sz w:val="20"/>
                <w:szCs w:val="20"/>
              </w:rPr>
              <w:t>HIGH</w:t>
            </w:r>
          </w:p>
        </w:tc>
      </w:tr>
      <w:tr w:rsidR="00EB71F8" w:rsidRPr="000365F4" w:rsidTr="00EB71F8">
        <w:trPr>
          <w:cantSplit/>
        </w:trPr>
        <w:tc>
          <w:tcPr>
            <w:tcW w:w="1682"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Facilitators / mediators</w:t>
            </w:r>
          </w:p>
        </w:tc>
        <w:tc>
          <w:tcPr>
            <w:tcW w:w="1960" w:type="dxa"/>
            <w:shd w:val="clear" w:color="auto" w:fill="auto"/>
          </w:tcPr>
          <w:p w:rsidR="00EB71F8" w:rsidRPr="0047156B" w:rsidRDefault="00670805" w:rsidP="00CF722E">
            <w:pPr>
              <w:rPr>
                <w:rFonts w:ascii="Arial" w:hAnsi="Arial" w:cs="Arial"/>
                <w:sz w:val="20"/>
                <w:szCs w:val="20"/>
              </w:rPr>
            </w:pPr>
            <w:r w:rsidRPr="00670805">
              <w:rPr>
                <w:rFonts w:ascii="Arial" w:hAnsi="Arial" w:cs="Arial"/>
                <w:sz w:val="20"/>
                <w:szCs w:val="20"/>
              </w:rPr>
              <w:t>This sub-sector includes organizations that mediate between stakeholders (e.g. unions, employers, government) to maintain stable labour relations.</w:t>
            </w:r>
          </w:p>
        </w:tc>
        <w:tc>
          <w:tcPr>
            <w:tcW w:w="1528" w:type="dxa"/>
            <w:shd w:val="clear" w:color="auto" w:fill="auto"/>
          </w:tcPr>
          <w:p w:rsidR="0047156B" w:rsidRPr="0047156B" w:rsidRDefault="00EB71F8" w:rsidP="00CF722E">
            <w:pPr>
              <w:rPr>
                <w:rFonts w:ascii="Arial" w:hAnsi="Arial" w:cs="Arial"/>
                <w:sz w:val="20"/>
                <w:szCs w:val="20"/>
              </w:rPr>
            </w:pPr>
            <w:r w:rsidRPr="0047156B">
              <w:rPr>
                <w:rFonts w:ascii="Arial" w:hAnsi="Arial" w:cs="Arial"/>
                <w:sz w:val="20"/>
                <w:szCs w:val="20"/>
              </w:rPr>
              <w:t xml:space="preserve">Promoting and maintaining stable labour </w:t>
            </w:r>
            <w:r w:rsidR="0047156B" w:rsidRPr="0047156B">
              <w:rPr>
                <w:rFonts w:ascii="Arial" w:hAnsi="Arial" w:cs="Arial"/>
                <w:sz w:val="20"/>
                <w:szCs w:val="20"/>
              </w:rPr>
              <w:t>relations. (Ministry of Labour)</w:t>
            </w:r>
          </w:p>
          <w:p w:rsidR="0047156B" w:rsidRPr="0047156B" w:rsidRDefault="0047156B" w:rsidP="00CF722E">
            <w:pPr>
              <w:rPr>
                <w:rFonts w:ascii="Arial" w:hAnsi="Arial" w:cs="Arial"/>
                <w:sz w:val="20"/>
                <w:szCs w:val="20"/>
              </w:rPr>
            </w:pPr>
          </w:p>
          <w:p w:rsidR="00EB71F8" w:rsidRPr="0047156B" w:rsidRDefault="00EB71F8" w:rsidP="00CF722E">
            <w:pPr>
              <w:rPr>
                <w:rFonts w:ascii="Arial" w:hAnsi="Arial" w:cs="Arial"/>
                <w:sz w:val="20"/>
                <w:szCs w:val="20"/>
              </w:rPr>
            </w:pPr>
            <w:r w:rsidRPr="0047156B">
              <w:rPr>
                <w:rFonts w:ascii="Arial" w:hAnsi="Arial" w:cs="Arial"/>
                <w:sz w:val="20"/>
                <w:szCs w:val="20"/>
              </w:rPr>
              <w:t>Providing mediation services (Ontario Labour Relations Board)</w:t>
            </w:r>
          </w:p>
        </w:tc>
        <w:tc>
          <w:tcPr>
            <w:tcW w:w="2126"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None</w:t>
            </w:r>
          </w:p>
        </w:tc>
        <w:tc>
          <w:tcPr>
            <w:tcW w:w="2547" w:type="dxa"/>
            <w:shd w:val="clear" w:color="auto" w:fill="auto"/>
          </w:tcPr>
          <w:p w:rsidR="00EB71F8" w:rsidRPr="0047156B" w:rsidRDefault="00670805" w:rsidP="00CF722E">
            <w:pPr>
              <w:rPr>
                <w:rFonts w:ascii="Arial" w:hAnsi="Arial" w:cs="Arial"/>
                <w:sz w:val="20"/>
                <w:szCs w:val="20"/>
              </w:rPr>
            </w:pPr>
            <w:r w:rsidRPr="00670805">
              <w:rPr>
                <w:rFonts w:ascii="Arial" w:hAnsi="Arial" w:cs="Arial"/>
                <w:sz w:val="20"/>
                <w:szCs w:val="20"/>
              </w:rPr>
              <w:t>Records of these organizations document the promotion of stable labour relations which are vital to the economic health of the province.</w:t>
            </w:r>
          </w:p>
        </w:tc>
        <w:tc>
          <w:tcPr>
            <w:tcW w:w="2131"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The AO does not hold any fonds within this sub-sector for the post-1980 period.</w:t>
            </w:r>
          </w:p>
        </w:tc>
        <w:tc>
          <w:tcPr>
            <w:tcW w:w="2409"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HIGH</w:t>
            </w:r>
          </w:p>
        </w:tc>
      </w:tr>
      <w:tr w:rsidR="00EB71F8" w:rsidRPr="000365F4" w:rsidTr="00EB71F8">
        <w:trPr>
          <w:cantSplit/>
        </w:trPr>
        <w:tc>
          <w:tcPr>
            <w:tcW w:w="1682"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Workers' health and safety organizations</w:t>
            </w:r>
          </w:p>
        </w:tc>
        <w:tc>
          <w:tcPr>
            <w:tcW w:w="1960" w:type="dxa"/>
            <w:shd w:val="clear" w:color="auto" w:fill="auto"/>
          </w:tcPr>
          <w:p w:rsidR="00EB71F8" w:rsidRPr="0047156B" w:rsidRDefault="00670805" w:rsidP="00CF722E">
            <w:pPr>
              <w:rPr>
                <w:rFonts w:ascii="Arial" w:hAnsi="Arial" w:cs="Arial"/>
                <w:sz w:val="20"/>
                <w:szCs w:val="20"/>
              </w:rPr>
            </w:pPr>
            <w:r w:rsidRPr="00670805">
              <w:rPr>
                <w:rFonts w:ascii="Arial" w:hAnsi="Arial" w:cs="Arial"/>
                <w:sz w:val="20"/>
                <w:szCs w:val="20"/>
              </w:rPr>
              <w:t>This sub-sector includes organizations that provide training, education, or research aimed at improving the health and safety of workers.</w:t>
            </w:r>
          </w:p>
        </w:tc>
        <w:tc>
          <w:tcPr>
            <w:tcW w:w="1528"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Promoting</w:t>
            </w:r>
            <w:r w:rsidR="0047156B">
              <w:rPr>
                <w:rFonts w:ascii="Arial" w:hAnsi="Arial" w:cs="Arial"/>
                <w:sz w:val="20"/>
                <w:szCs w:val="20"/>
              </w:rPr>
              <w:t xml:space="preserve"> occupational health and safety </w:t>
            </w:r>
            <w:r w:rsidRPr="0047156B">
              <w:rPr>
                <w:rFonts w:ascii="Arial" w:hAnsi="Arial" w:cs="Arial"/>
                <w:sz w:val="20"/>
                <w:szCs w:val="20"/>
              </w:rPr>
              <w:t>(Ministry of Labour)</w:t>
            </w:r>
          </w:p>
        </w:tc>
        <w:tc>
          <w:tcPr>
            <w:tcW w:w="2126"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None</w:t>
            </w:r>
          </w:p>
        </w:tc>
        <w:tc>
          <w:tcPr>
            <w:tcW w:w="2547" w:type="dxa"/>
            <w:shd w:val="clear" w:color="auto" w:fill="auto"/>
          </w:tcPr>
          <w:p w:rsidR="00EB71F8" w:rsidRPr="0047156B" w:rsidRDefault="00670805" w:rsidP="00CF722E">
            <w:pPr>
              <w:rPr>
                <w:rFonts w:ascii="Arial" w:hAnsi="Arial" w:cs="Arial"/>
                <w:sz w:val="20"/>
                <w:szCs w:val="20"/>
              </w:rPr>
            </w:pPr>
            <w:r w:rsidRPr="00670805">
              <w:rPr>
                <w:rFonts w:ascii="Arial" w:hAnsi="Arial" w:cs="Arial"/>
                <w:sz w:val="20"/>
                <w:szCs w:val="20"/>
              </w:rPr>
              <w:t>Records of these organizations document the implementation of occupational health policy and standards in the province.</w:t>
            </w:r>
          </w:p>
        </w:tc>
        <w:tc>
          <w:tcPr>
            <w:tcW w:w="2131"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The AO does not hold any fonds within this sub-sector for the post-1980 period.</w:t>
            </w:r>
          </w:p>
        </w:tc>
        <w:tc>
          <w:tcPr>
            <w:tcW w:w="2409" w:type="dxa"/>
            <w:shd w:val="clear" w:color="auto" w:fill="auto"/>
          </w:tcPr>
          <w:p w:rsidR="00EB71F8" w:rsidRPr="0047156B" w:rsidRDefault="00EB71F8" w:rsidP="00CF722E">
            <w:pPr>
              <w:rPr>
                <w:rFonts w:ascii="Arial" w:hAnsi="Arial" w:cs="Arial"/>
                <w:sz w:val="20"/>
                <w:szCs w:val="20"/>
              </w:rPr>
            </w:pPr>
            <w:r w:rsidRPr="0047156B">
              <w:rPr>
                <w:rFonts w:ascii="Arial" w:hAnsi="Arial" w:cs="Arial"/>
                <w:sz w:val="20"/>
                <w:szCs w:val="20"/>
              </w:rPr>
              <w:t>HIGH</w:t>
            </w:r>
          </w:p>
        </w:tc>
      </w:tr>
    </w:tbl>
    <w:p w:rsidR="009857E7" w:rsidRPr="009857E7" w:rsidRDefault="009857E7" w:rsidP="009857E7">
      <w:pPr>
        <w:rPr>
          <w:rFonts w:ascii="Arial" w:hAnsi="Arial" w:cs="Arial"/>
          <w:lang w:val="en-GB"/>
        </w:rPr>
      </w:pPr>
    </w:p>
    <w:sectPr w:rsidR="009857E7" w:rsidRPr="009857E7" w:rsidSect="001C4E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AC" w:rsidRDefault="000705AC">
      <w:r>
        <w:separator/>
      </w:r>
    </w:p>
  </w:endnote>
  <w:endnote w:type="continuationSeparator" w:id="0">
    <w:p w:rsidR="000705AC" w:rsidRDefault="0007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3A" w:rsidRDefault="005B143A" w:rsidP="005B143A">
    <w:pPr>
      <w:pStyle w:val="Footer"/>
    </w:pPr>
    <w:r w:rsidRPr="005B143A">
      <w:rPr>
        <w:rFonts w:ascii="Arial" w:hAnsi="Arial" w:cs="Arial"/>
        <w:sz w:val="20"/>
        <w:szCs w:val="20"/>
      </w:rPr>
      <w:t>Analys</w:t>
    </w:r>
    <w:r w:rsidR="0006122E">
      <w:rPr>
        <w:rFonts w:ascii="Arial" w:hAnsi="Arial" w:cs="Arial"/>
        <w:sz w:val="20"/>
        <w:szCs w:val="20"/>
      </w:rPr>
      <w:t>is Report of</w:t>
    </w:r>
    <w:r w:rsidR="004F53E8">
      <w:rPr>
        <w:rFonts w:ascii="Arial" w:hAnsi="Arial" w:cs="Arial"/>
        <w:sz w:val="20"/>
        <w:szCs w:val="20"/>
      </w:rPr>
      <w:t xml:space="preserve"> the </w:t>
    </w:r>
    <w:r w:rsidR="00E71FE6">
      <w:rPr>
        <w:rFonts w:ascii="Arial" w:hAnsi="Arial" w:cs="Arial"/>
        <w:sz w:val="20"/>
        <w:szCs w:val="20"/>
      </w:rPr>
      <w:t>Labour</w:t>
    </w:r>
    <w:r w:rsidRPr="005B143A">
      <w:rPr>
        <w:rFonts w:ascii="Arial" w:hAnsi="Arial" w:cs="Arial"/>
        <w:sz w:val="20"/>
        <w:szCs w:val="20"/>
      </w:rPr>
      <w:t xml:space="preserve"> Sector in Ontario</w:t>
    </w:r>
    <w:r>
      <w:tab/>
    </w:r>
    <w:r w:rsidR="0006122E">
      <w:tab/>
    </w:r>
    <w:r w:rsidRPr="0006122E">
      <w:rPr>
        <w:rFonts w:ascii="Arial" w:hAnsi="Arial" w:cs="Arial"/>
        <w:sz w:val="20"/>
        <w:szCs w:val="20"/>
      </w:rPr>
      <w:t xml:space="preserve">Page </w:t>
    </w:r>
    <w:r w:rsidRPr="0006122E">
      <w:rPr>
        <w:rFonts w:ascii="Arial" w:hAnsi="Arial" w:cs="Arial"/>
        <w:sz w:val="20"/>
        <w:szCs w:val="20"/>
      </w:rPr>
      <w:fldChar w:fldCharType="begin"/>
    </w:r>
    <w:r w:rsidRPr="0006122E">
      <w:rPr>
        <w:rFonts w:ascii="Arial" w:hAnsi="Arial" w:cs="Arial"/>
        <w:sz w:val="20"/>
        <w:szCs w:val="20"/>
      </w:rPr>
      <w:instrText xml:space="preserve"> PAGE  \* Arabic  \* MERGEFORMAT </w:instrText>
    </w:r>
    <w:r w:rsidRPr="0006122E">
      <w:rPr>
        <w:rFonts w:ascii="Arial" w:hAnsi="Arial" w:cs="Arial"/>
        <w:sz w:val="20"/>
        <w:szCs w:val="20"/>
      </w:rPr>
      <w:fldChar w:fldCharType="separate"/>
    </w:r>
    <w:r w:rsidR="00CF5E2F">
      <w:rPr>
        <w:rFonts w:ascii="Arial" w:hAnsi="Arial" w:cs="Arial"/>
        <w:noProof/>
        <w:sz w:val="20"/>
        <w:szCs w:val="20"/>
      </w:rPr>
      <w:t>2</w:t>
    </w:r>
    <w:r w:rsidRPr="0006122E">
      <w:rPr>
        <w:rFonts w:ascii="Arial" w:hAnsi="Arial" w:cs="Arial"/>
        <w:sz w:val="20"/>
        <w:szCs w:val="20"/>
      </w:rPr>
      <w:fldChar w:fldCharType="end"/>
    </w:r>
    <w:r w:rsidRPr="0006122E">
      <w:rPr>
        <w:rFonts w:ascii="Arial" w:hAnsi="Arial" w:cs="Arial"/>
        <w:sz w:val="20"/>
        <w:szCs w:val="20"/>
      </w:rPr>
      <w:t xml:space="preserve"> of </w:t>
    </w:r>
    <w:r w:rsidRPr="0006122E">
      <w:rPr>
        <w:rFonts w:ascii="Arial" w:hAnsi="Arial" w:cs="Arial"/>
        <w:sz w:val="20"/>
        <w:szCs w:val="20"/>
      </w:rPr>
      <w:fldChar w:fldCharType="begin"/>
    </w:r>
    <w:r w:rsidRPr="0006122E">
      <w:rPr>
        <w:rFonts w:ascii="Arial" w:hAnsi="Arial" w:cs="Arial"/>
        <w:sz w:val="20"/>
        <w:szCs w:val="20"/>
      </w:rPr>
      <w:instrText xml:space="preserve"> NUMPAGES  \* Arabic  \* MERGEFORMAT </w:instrText>
    </w:r>
    <w:r w:rsidRPr="0006122E">
      <w:rPr>
        <w:rFonts w:ascii="Arial" w:hAnsi="Arial" w:cs="Arial"/>
        <w:sz w:val="20"/>
        <w:szCs w:val="20"/>
      </w:rPr>
      <w:fldChar w:fldCharType="separate"/>
    </w:r>
    <w:r w:rsidR="00CF5E2F">
      <w:rPr>
        <w:rFonts w:ascii="Arial" w:hAnsi="Arial" w:cs="Arial"/>
        <w:noProof/>
        <w:sz w:val="20"/>
        <w:szCs w:val="20"/>
      </w:rPr>
      <w:t>13</w:t>
    </w:r>
    <w:r w:rsidRPr="0006122E">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3A" w:rsidRDefault="00AE37A2">
    <w:pPr>
      <w:pStyle w:val="Footer"/>
    </w:pPr>
    <w:r>
      <w:rPr>
        <w:rFonts w:ascii="Arial" w:hAnsi="Arial"/>
        <w:noProof/>
        <w:sz w:val="12"/>
      </w:rPr>
      <w:drawing>
        <wp:inline distT="0" distB="0" distL="0" distR="0">
          <wp:extent cx="3314700" cy="571500"/>
          <wp:effectExtent l="0" t="0" r="0" b="0"/>
          <wp:docPr id="2" name="Picture 2" descr="AO Logo - 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 Logo - 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AC" w:rsidRDefault="000705AC">
      <w:r>
        <w:separator/>
      </w:r>
    </w:p>
  </w:footnote>
  <w:footnote w:type="continuationSeparator" w:id="0">
    <w:p w:rsidR="000705AC" w:rsidRDefault="000705AC">
      <w:r>
        <w:continuationSeparator/>
      </w:r>
    </w:p>
  </w:footnote>
  <w:footnote w:id="1">
    <w:p w:rsidR="00A60ED9" w:rsidRPr="0006122E" w:rsidRDefault="00A60ED9">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proofErr w:type="gramStart"/>
      <w:r w:rsidR="00A9751D" w:rsidRPr="0006122E">
        <w:rPr>
          <w:rFonts w:ascii="Arial" w:hAnsi="Arial" w:cs="Arial"/>
        </w:rPr>
        <w:t>"History."</w:t>
      </w:r>
      <w:proofErr w:type="gramEnd"/>
      <w:r w:rsidR="00A9751D" w:rsidRPr="0006122E">
        <w:rPr>
          <w:rFonts w:ascii="Arial" w:hAnsi="Arial" w:cs="Arial"/>
        </w:rPr>
        <w:t xml:space="preserve"> </w:t>
      </w:r>
      <w:proofErr w:type="gramStart"/>
      <w:r w:rsidR="00A9751D" w:rsidRPr="0006122E">
        <w:rPr>
          <w:rFonts w:ascii="Arial" w:hAnsi="Arial" w:cs="Arial"/>
        </w:rPr>
        <w:t>The Ontario Federation of Labour.</w:t>
      </w:r>
      <w:proofErr w:type="gramEnd"/>
      <w:r w:rsidR="00A9751D" w:rsidRPr="0006122E">
        <w:rPr>
          <w:rFonts w:ascii="Arial" w:hAnsi="Arial" w:cs="Arial"/>
        </w:rPr>
        <w:t xml:space="preserve"> June 12, 2012. </w:t>
      </w:r>
      <w:proofErr w:type="gramStart"/>
      <w:r w:rsidR="00A9751D" w:rsidRPr="0006122E">
        <w:rPr>
          <w:rFonts w:ascii="Arial" w:hAnsi="Arial" w:cs="Arial"/>
        </w:rPr>
        <w:t>Accessed July 3, 2015.</w:t>
      </w:r>
      <w:proofErr w:type="gramEnd"/>
      <w:r w:rsidR="00A9751D" w:rsidRPr="0006122E">
        <w:rPr>
          <w:rFonts w:ascii="Arial" w:hAnsi="Arial" w:cs="Arial"/>
        </w:rPr>
        <w:t xml:space="preserve"> http://ofl.ca/index.php/about/history/.</w:t>
      </w:r>
    </w:p>
  </w:footnote>
  <w:footnote w:id="2">
    <w:p w:rsidR="00A60ED9" w:rsidRPr="0006122E" w:rsidRDefault="00A60ED9">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r w:rsidR="00FB662B" w:rsidRPr="0006122E">
        <w:rPr>
          <w:rFonts w:ascii="Arial" w:hAnsi="Arial" w:cs="Arial"/>
        </w:rPr>
        <w:t xml:space="preserve">Phillips, Pattie. </w:t>
      </w:r>
      <w:proofErr w:type="gramStart"/>
      <w:r w:rsidR="00FB662B" w:rsidRPr="0006122E">
        <w:rPr>
          <w:rFonts w:ascii="Arial" w:hAnsi="Arial" w:cs="Arial"/>
        </w:rPr>
        <w:t>"Highlights in Canadian Labour History."</w:t>
      </w:r>
      <w:proofErr w:type="gramEnd"/>
      <w:r w:rsidR="00FB662B" w:rsidRPr="0006122E">
        <w:rPr>
          <w:rFonts w:ascii="Arial" w:hAnsi="Arial" w:cs="Arial"/>
        </w:rPr>
        <w:t xml:space="preserve"> </w:t>
      </w:r>
      <w:proofErr w:type="spellStart"/>
      <w:proofErr w:type="gramStart"/>
      <w:r w:rsidR="00FB662B" w:rsidRPr="0006122E">
        <w:rPr>
          <w:rFonts w:ascii="Arial" w:hAnsi="Arial" w:cs="Arial"/>
        </w:rPr>
        <w:t>CBCnews</w:t>
      </w:r>
      <w:proofErr w:type="spellEnd"/>
      <w:r w:rsidR="00FB662B" w:rsidRPr="0006122E">
        <w:rPr>
          <w:rFonts w:ascii="Arial" w:hAnsi="Arial" w:cs="Arial"/>
        </w:rPr>
        <w:t>.</w:t>
      </w:r>
      <w:proofErr w:type="gramEnd"/>
      <w:r w:rsidR="00FB662B" w:rsidRPr="0006122E">
        <w:rPr>
          <w:rFonts w:ascii="Arial" w:hAnsi="Arial" w:cs="Arial"/>
        </w:rPr>
        <w:t xml:space="preserve"> September 4, 2009. </w:t>
      </w:r>
      <w:proofErr w:type="gramStart"/>
      <w:r w:rsidR="00FB662B" w:rsidRPr="0006122E">
        <w:rPr>
          <w:rFonts w:ascii="Arial" w:hAnsi="Arial" w:cs="Arial"/>
        </w:rPr>
        <w:t>Accessed July 3, 2015.</w:t>
      </w:r>
      <w:proofErr w:type="gramEnd"/>
      <w:r w:rsidR="00FB662B" w:rsidRPr="0006122E">
        <w:rPr>
          <w:rFonts w:ascii="Arial" w:hAnsi="Arial" w:cs="Arial"/>
        </w:rPr>
        <w:t xml:space="preserve"> http://www.cbc.ca/news/canada/highlights-in-canadian-labour-history-1.850282. </w:t>
      </w:r>
    </w:p>
  </w:footnote>
  <w:footnote w:id="3">
    <w:p w:rsidR="00B4010F" w:rsidRPr="0006122E" w:rsidRDefault="00B4010F">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proofErr w:type="gramStart"/>
      <w:r w:rsidR="00FB662B" w:rsidRPr="0006122E">
        <w:rPr>
          <w:rFonts w:ascii="Arial" w:hAnsi="Arial" w:cs="Arial"/>
        </w:rPr>
        <w:t>"Working-Class History."</w:t>
      </w:r>
      <w:proofErr w:type="gramEnd"/>
      <w:r w:rsidR="00FB662B" w:rsidRPr="0006122E">
        <w:rPr>
          <w:rFonts w:ascii="Arial" w:hAnsi="Arial" w:cs="Arial"/>
        </w:rPr>
        <w:t xml:space="preserve"> </w:t>
      </w:r>
      <w:proofErr w:type="gramStart"/>
      <w:r w:rsidR="00FB662B" w:rsidRPr="0006122E">
        <w:rPr>
          <w:rFonts w:ascii="Arial" w:hAnsi="Arial" w:cs="Arial"/>
        </w:rPr>
        <w:t>The Canadian Encyclopedia.</w:t>
      </w:r>
      <w:proofErr w:type="gramEnd"/>
      <w:r w:rsidR="00FB662B" w:rsidRPr="0006122E">
        <w:rPr>
          <w:rFonts w:ascii="Arial" w:hAnsi="Arial" w:cs="Arial"/>
        </w:rPr>
        <w:t xml:space="preserve"> </w:t>
      </w:r>
      <w:proofErr w:type="gramStart"/>
      <w:r w:rsidR="00FB662B" w:rsidRPr="0006122E">
        <w:rPr>
          <w:rFonts w:ascii="Arial" w:hAnsi="Arial" w:cs="Arial"/>
        </w:rPr>
        <w:t>Accessed July 3, 2015.</w:t>
      </w:r>
      <w:proofErr w:type="gramEnd"/>
      <w:r w:rsidR="00FB662B" w:rsidRPr="0006122E">
        <w:rPr>
          <w:rFonts w:ascii="Arial" w:hAnsi="Arial" w:cs="Arial"/>
        </w:rPr>
        <w:t xml:space="preserve"> http://www.thecanadianencyclopedia.ca/en/article/working-class-history/. </w:t>
      </w:r>
    </w:p>
  </w:footnote>
  <w:footnote w:id="4">
    <w:p w:rsidR="00AD4145" w:rsidRPr="0011640F" w:rsidRDefault="00AD4145">
      <w:pPr>
        <w:pStyle w:val="FootnoteText"/>
        <w:rPr>
          <w:rFonts w:ascii="Calibri" w:hAnsi="Calibri" w:cs="Calibri"/>
        </w:rPr>
      </w:pPr>
      <w:r w:rsidRPr="0006122E">
        <w:rPr>
          <w:rStyle w:val="FootnoteReference"/>
          <w:rFonts w:ascii="Arial" w:hAnsi="Arial" w:cs="Arial"/>
        </w:rPr>
        <w:footnoteRef/>
      </w:r>
      <w:r w:rsidRPr="0006122E">
        <w:rPr>
          <w:rFonts w:ascii="Arial" w:hAnsi="Arial" w:cs="Arial"/>
        </w:rPr>
        <w:t xml:space="preserve"> </w:t>
      </w:r>
      <w:r w:rsidR="00FB662B" w:rsidRPr="0006122E">
        <w:rPr>
          <w:rFonts w:ascii="Arial" w:hAnsi="Arial" w:cs="Arial"/>
        </w:rPr>
        <w:t xml:space="preserve">Phillips, Pattie. </w:t>
      </w:r>
      <w:proofErr w:type="gramStart"/>
      <w:r w:rsidR="00FB662B" w:rsidRPr="0006122E">
        <w:rPr>
          <w:rFonts w:ascii="Arial" w:hAnsi="Arial" w:cs="Arial"/>
        </w:rPr>
        <w:t>"Highlights in Canadian Labour History."</w:t>
      </w:r>
      <w:proofErr w:type="gramEnd"/>
      <w:r w:rsidR="00FB662B" w:rsidRPr="0006122E">
        <w:rPr>
          <w:rFonts w:ascii="Arial" w:hAnsi="Arial" w:cs="Arial"/>
        </w:rPr>
        <w:t xml:space="preserve"> </w:t>
      </w:r>
      <w:proofErr w:type="spellStart"/>
      <w:proofErr w:type="gramStart"/>
      <w:r w:rsidR="00FB662B" w:rsidRPr="0006122E">
        <w:rPr>
          <w:rFonts w:ascii="Arial" w:hAnsi="Arial" w:cs="Arial"/>
        </w:rPr>
        <w:t>CBCnews</w:t>
      </w:r>
      <w:proofErr w:type="spellEnd"/>
      <w:r w:rsidR="00FB662B" w:rsidRPr="0006122E">
        <w:rPr>
          <w:rFonts w:ascii="Arial" w:hAnsi="Arial" w:cs="Arial"/>
        </w:rPr>
        <w:t>.</w:t>
      </w:r>
      <w:proofErr w:type="gramEnd"/>
      <w:r w:rsidR="00FB662B" w:rsidRPr="0006122E">
        <w:rPr>
          <w:rFonts w:ascii="Arial" w:hAnsi="Arial" w:cs="Arial"/>
        </w:rPr>
        <w:t xml:space="preserve"> September 4, 2009. </w:t>
      </w:r>
      <w:proofErr w:type="gramStart"/>
      <w:r w:rsidR="00FB662B" w:rsidRPr="0006122E">
        <w:rPr>
          <w:rFonts w:ascii="Arial" w:hAnsi="Arial" w:cs="Arial"/>
        </w:rPr>
        <w:t>Accessed July 3, 2015.</w:t>
      </w:r>
      <w:proofErr w:type="gramEnd"/>
      <w:r w:rsidR="00FB662B" w:rsidRPr="0006122E">
        <w:rPr>
          <w:rFonts w:ascii="Arial" w:hAnsi="Arial" w:cs="Arial"/>
        </w:rPr>
        <w:t xml:space="preserve"> http://www.cbc.ca/news/canada/highlights-in-canadian-labour-history-1.850282.</w:t>
      </w:r>
    </w:p>
  </w:footnote>
  <w:footnote w:id="5">
    <w:p w:rsidR="006105A4" w:rsidRPr="0006122E" w:rsidRDefault="006105A4">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proofErr w:type="gramStart"/>
      <w:r w:rsidR="00FB662B" w:rsidRPr="0006122E">
        <w:rPr>
          <w:rFonts w:ascii="Arial" w:hAnsi="Arial" w:cs="Arial"/>
        </w:rPr>
        <w:t>"Working-Class History."</w:t>
      </w:r>
      <w:proofErr w:type="gramEnd"/>
      <w:r w:rsidR="00FB662B" w:rsidRPr="0006122E">
        <w:rPr>
          <w:rFonts w:ascii="Arial" w:hAnsi="Arial" w:cs="Arial"/>
        </w:rPr>
        <w:t xml:space="preserve"> </w:t>
      </w:r>
      <w:proofErr w:type="gramStart"/>
      <w:r w:rsidR="00FB662B" w:rsidRPr="0006122E">
        <w:rPr>
          <w:rFonts w:ascii="Arial" w:hAnsi="Arial" w:cs="Arial"/>
        </w:rPr>
        <w:t>The Canadian Encyclopedia.</w:t>
      </w:r>
      <w:proofErr w:type="gramEnd"/>
      <w:r w:rsidR="00FB662B" w:rsidRPr="0006122E">
        <w:rPr>
          <w:rFonts w:ascii="Arial" w:hAnsi="Arial" w:cs="Arial"/>
        </w:rPr>
        <w:t xml:space="preserve"> </w:t>
      </w:r>
      <w:proofErr w:type="gramStart"/>
      <w:r w:rsidR="00FB662B" w:rsidRPr="0006122E">
        <w:rPr>
          <w:rFonts w:ascii="Arial" w:hAnsi="Arial" w:cs="Arial"/>
        </w:rPr>
        <w:t>Accessed July 3, 2015.</w:t>
      </w:r>
      <w:proofErr w:type="gramEnd"/>
      <w:r w:rsidR="00FB662B" w:rsidRPr="0006122E">
        <w:rPr>
          <w:rFonts w:ascii="Arial" w:hAnsi="Arial" w:cs="Arial"/>
        </w:rPr>
        <w:t xml:space="preserve"> http://www.thecanadianencyclopedia.ca/en/article/working-class-history/.</w:t>
      </w:r>
    </w:p>
  </w:footnote>
  <w:footnote w:id="6">
    <w:p w:rsidR="009E077C" w:rsidRPr="0006122E" w:rsidRDefault="009E077C">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proofErr w:type="gramStart"/>
      <w:r w:rsidR="00A9751D" w:rsidRPr="0006122E">
        <w:rPr>
          <w:rFonts w:ascii="Arial" w:hAnsi="Arial" w:cs="Arial"/>
        </w:rPr>
        <w:t>"History."</w:t>
      </w:r>
      <w:proofErr w:type="gramEnd"/>
      <w:r w:rsidR="00A9751D" w:rsidRPr="0006122E">
        <w:rPr>
          <w:rFonts w:ascii="Arial" w:hAnsi="Arial" w:cs="Arial"/>
        </w:rPr>
        <w:t xml:space="preserve"> </w:t>
      </w:r>
      <w:proofErr w:type="gramStart"/>
      <w:r w:rsidR="00A9751D" w:rsidRPr="0006122E">
        <w:rPr>
          <w:rFonts w:ascii="Arial" w:hAnsi="Arial" w:cs="Arial"/>
        </w:rPr>
        <w:t>The Ontario Federation of Labour.</w:t>
      </w:r>
      <w:proofErr w:type="gramEnd"/>
      <w:r w:rsidR="00A9751D" w:rsidRPr="0006122E">
        <w:rPr>
          <w:rFonts w:ascii="Arial" w:hAnsi="Arial" w:cs="Arial"/>
        </w:rPr>
        <w:t xml:space="preserve"> June 12, 2012. </w:t>
      </w:r>
      <w:proofErr w:type="gramStart"/>
      <w:r w:rsidR="00A9751D" w:rsidRPr="0006122E">
        <w:rPr>
          <w:rFonts w:ascii="Arial" w:hAnsi="Arial" w:cs="Arial"/>
        </w:rPr>
        <w:t>Accessed July 3, 2015.</w:t>
      </w:r>
      <w:proofErr w:type="gramEnd"/>
      <w:r w:rsidR="00A9751D" w:rsidRPr="0006122E">
        <w:rPr>
          <w:rFonts w:ascii="Arial" w:hAnsi="Arial" w:cs="Arial"/>
        </w:rPr>
        <w:t xml:space="preserve"> http://ofl.ca/index.php/about/history/.</w:t>
      </w:r>
    </w:p>
  </w:footnote>
  <w:footnote w:id="7">
    <w:p w:rsidR="008655ED" w:rsidRPr="0006122E" w:rsidRDefault="008655ED">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r w:rsidR="00A9751D" w:rsidRPr="0006122E">
        <w:rPr>
          <w:rFonts w:ascii="Arial" w:hAnsi="Arial" w:cs="Arial"/>
        </w:rPr>
        <w:t xml:space="preserve">"Rand Formula." </w:t>
      </w:r>
      <w:proofErr w:type="gramStart"/>
      <w:r w:rsidR="00A9751D" w:rsidRPr="0006122E">
        <w:rPr>
          <w:rFonts w:ascii="Arial" w:hAnsi="Arial" w:cs="Arial"/>
        </w:rPr>
        <w:t>The Canadian Encyclopedia.</w:t>
      </w:r>
      <w:proofErr w:type="gramEnd"/>
      <w:r w:rsidR="00A9751D" w:rsidRPr="0006122E">
        <w:rPr>
          <w:rFonts w:ascii="Arial" w:hAnsi="Arial" w:cs="Arial"/>
        </w:rPr>
        <w:t xml:space="preserve"> </w:t>
      </w:r>
      <w:proofErr w:type="gramStart"/>
      <w:r w:rsidR="00A9751D" w:rsidRPr="0006122E">
        <w:rPr>
          <w:rFonts w:ascii="Arial" w:hAnsi="Arial" w:cs="Arial"/>
        </w:rPr>
        <w:t>Accessed July 3, 2015.</w:t>
      </w:r>
      <w:proofErr w:type="gramEnd"/>
      <w:r w:rsidR="00A9751D" w:rsidRPr="0006122E">
        <w:rPr>
          <w:rFonts w:ascii="Arial" w:hAnsi="Arial" w:cs="Arial"/>
        </w:rPr>
        <w:t xml:space="preserve"> http://www.thecanadianencyclopedia.ca/en/article/rand-formula/. </w:t>
      </w:r>
    </w:p>
  </w:footnote>
  <w:footnote w:id="8">
    <w:p w:rsidR="00851C29" w:rsidRPr="0006122E" w:rsidRDefault="00851C29">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proofErr w:type="gramStart"/>
      <w:r w:rsidR="00A9751D" w:rsidRPr="0006122E">
        <w:rPr>
          <w:rFonts w:ascii="Arial" w:hAnsi="Arial" w:cs="Arial"/>
        </w:rPr>
        <w:t>UNIFOR.</w:t>
      </w:r>
      <w:proofErr w:type="gramEnd"/>
      <w:r w:rsidR="00A9751D" w:rsidRPr="0006122E">
        <w:rPr>
          <w:rFonts w:ascii="Arial" w:hAnsi="Arial" w:cs="Arial"/>
        </w:rPr>
        <w:t xml:space="preserve"> "Where Did Our Rights Come From?" </w:t>
      </w:r>
      <w:proofErr w:type="gramStart"/>
      <w:r w:rsidR="00A9751D" w:rsidRPr="0006122E">
        <w:rPr>
          <w:rFonts w:ascii="Arial" w:hAnsi="Arial" w:cs="Arial"/>
        </w:rPr>
        <w:t>Accessed July 3, 2015.</w:t>
      </w:r>
      <w:proofErr w:type="gramEnd"/>
      <w:r w:rsidR="00A9751D" w:rsidRPr="0006122E">
        <w:rPr>
          <w:rFonts w:ascii="Arial" w:hAnsi="Arial" w:cs="Arial"/>
        </w:rPr>
        <w:t xml:space="preserve"> http://www.unifor.org/sites/default/files/documents/document/part_5_-_fleck_strike_r.pdf.</w:t>
      </w:r>
    </w:p>
  </w:footnote>
  <w:footnote w:id="9">
    <w:p w:rsidR="005C6448" w:rsidRPr="0006122E" w:rsidRDefault="005C6448">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proofErr w:type="gramStart"/>
      <w:r w:rsidR="00A9751D" w:rsidRPr="0006122E">
        <w:rPr>
          <w:rFonts w:ascii="Arial" w:hAnsi="Arial" w:cs="Arial"/>
        </w:rPr>
        <w:t>Ontario Federation of Labour.</w:t>
      </w:r>
      <w:proofErr w:type="gramEnd"/>
      <w:r w:rsidR="00A9751D" w:rsidRPr="0006122E">
        <w:rPr>
          <w:rFonts w:ascii="Arial" w:hAnsi="Arial" w:cs="Arial"/>
        </w:rPr>
        <w:t xml:space="preserve"> "Ontario Federation of Labour: 50th Anniversary." 2007. Accessed July 3, 2015. http://ofl.ca/wp-content/uploads/2007.11.20-Report-OFL.50th.Anniversary-Web.pdf. </w:t>
      </w:r>
    </w:p>
  </w:footnote>
  <w:footnote w:id="10">
    <w:p w:rsidR="00E01AF0" w:rsidRPr="0006122E" w:rsidRDefault="00E01AF0">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r w:rsidR="00A9751D" w:rsidRPr="0006122E">
        <w:rPr>
          <w:rFonts w:ascii="Arial" w:hAnsi="Arial" w:cs="Arial"/>
        </w:rPr>
        <w:t>Ibid.</w:t>
      </w:r>
    </w:p>
  </w:footnote>
  <w:footnote w:id="11">
    <w:p w:rsidR="00613B4B" w:rsidRPr="0006122E" w:rsidRDefault="00613B4B">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r w:rsidR="00A9751D" w:rsidRPr="0006122E">
        <w:rPr>
          <w:rFonts w:ascii="Arial" w:hAnsi="Arial" w:cs="Arial"/>
        </w:rPr>
        <w:t>Ibid.</w:t>
      </w:r>
    </w:p>
  </w:footnote>
  <w:footnote w:id="12">
    <w:p w:rsidR="007C296D" w:rsidRPr="0011640F" w:rsidRDefault="007C296D">
      <w:pPr>
        <w:pStyle w:val="FootnoteText"/>
        <w:rPr>
          <w:rFonts w:ascii="Calibri" w:hAnsi="Calibri" w:cs="Calibri"/>
        </w:rPr>
      </w:pPr>
      <w:r w:rsidRPr="0006122E">
        <w:rPr>
          <w:rStyle w:val="FootnoteReference"/>
          <w:rFonts w:ascii="Arial" w:hAnsi="Arial" w:cs="Arial"/>
        </w:rPr>
        <w:footnoteRef/>
      </w:r>
      <w:r w:rsidRPr="0006122E">
        <w:rPr>
          <w:rFonts w:ascii="Arial" w:hAnsi="Arial" w:cs="Arial"/>
        </w:rPr>
        <w:t xml:space="preserve"> </w:t>
      </w:r>
      <w:r w:rsidR="00A9751D" w:rsidRPr="0006122E">
        <w:rPr>
          <w:rFonts w:ascii="Arial" w:hAnsi="Arial" w:cs="Arial"/>
        </w:rPr>
        <w:t>Ibid.</w:t>
      </w:r>
    </w:p>
  </w:footnote>
  <w:footnote w:id="13">
    <w:p w:rsidR="00E072ED" w:rsidRPr="0006122E" w:rsidRDefault="00E072ED" w:rsidP="00E072ED">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r w:rsidR="0048013F" w:rsidRPr="0006122E">
        <w:rPr>
          <w:rFonts w:ascii="Arial" w:hAnsi="Arial" w:cs="Arial"/>
        </w:rPr>
        <w:t xml:space="preserve">Wynne, Kathleen. </w:t>
      </w:r>
      <w:proofErr w:type="gramStart"/>
      <w:r w:rsidR="0048013F" w:rsidRPr="0006122E">
        <w:rPr>
          <w:rFonts w:ascii="Arial" w:hAnsi="Arial" w:cs="Arial"/>
        </w:rPr>
        <w:t>"Building Ontario Up | Speech from the Throne."</w:t>
      </w:r>
      <w:proofErr w:type="gramEnd"/>
      <w:r w:rsidR="0048013F" w:rsidRPr="0006122E">
        <w:rPr>
          <w:rFonts w:ascii="Arial" w:hAnsi="Arial" w:cs="Arial"/>
        </w:rPr>
        <w:t xml:space="preserve"> </w:t>
      </w:r>
      <w:proofErr w:type="gramStart"/>
      <w:r w:rsidR="0048013F" w:rsidRPr="0006122E">
        <w:rPr>
          <w:rFonts w:ascii="Arial" w:hAnsi="Arial" w:cs="Arial"/>
        </w:rPr>
        <w:t>News.ontario.ca. 2014.</w:t>
      </w:r>
      <w:proofErr w:type="gramEnd"/>
      <w:r w:rsidR="0048013F" w:rsidRPr="0006122E">
        <w:rPr>
          <w:rFonts w:ascii="Arial" w:hAnsi="Arial" w:cs="Arial"/>
        </w:rPr>
        <w:t xml:space="preserve"> </w:t>
      </w:r>
      <w:proofErr w:type="gramStart"/>
      <w:r w:rsidR="0048013F" w:rsidRPr="0006122E">
        <w:rPr>
          <w:rFonts w:ascii="Arial" w:hAnsi="Arial" w:cs="Arial"/>
        </w:rPr>
        <w:t>Accessed July 3, 2015.</w:t>
      </w:r>
      <w:proofErr w:type="gramEnd"/>
      <w:r w:rsidR="0048013F" w:rsidRPr="0006122E">
        <w:rPr>
          <w:rFonts w:ascii="Arial" w:hAnsi="Arial" w:cs="Arial"/>
        </w:rPr>
        <w:t xml:space="preserve"> http://news.ontario.ca/opo/en/2014/07/building-ontario-up-speech-from-the-throne.html.</w:t>
      </w:r>
    </w:p>
  </w:footnote>
  <w:footnote w:id="14">
    <w:p w:rsidR="00E072ED" w:rsidRPr="0006122E" w:rsidRDefault="00E072ED" w:rsidP="00E072ED">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r w:rsidR="0048013F" w:rsidRPr="0006122E">
        <w:rPr>
          <w:rFonts w:ascii="Arial" w:hAnsi="Arial" w:cs="Arial"/>
        </w:rPr>
        <w:t xml:space="preserve">Wynne, Kathleen. "2014 Mandate Letter: Labour." Ontario.ca. September 24, 2014. </w:t>
      </w:r>
      <w:proofErr w:type="gramStart"/>
      <w:r w:rsidR="0048013F" w:rsidRPr="0006122E">
        <w:rPr>
          <w:rFonts w:ascii="Arial" w:hAnsi="Arial" w:cs="Arial"/>
        </w:rPr>
        <w:t>Accessed July 3, 2015.</w:t>
      </w:r>
      <w:proofErr w:type="gramEnd"/>
      <w:r w:rsidR="0048013F" w:rsidRPr="0006122E">
        <w:rPr>
          <w:rFonts w:ascii="Arial" w:hAnsi="Arial" w:cs="Arial"/>
        </w:rPr>
        <w:t xml:space="preserve"> http://www.ontario.ca/government/2014-mandate-letter-labour.</w:t>
      </w:r>
    </w:p>
  </w:footnote>
  <w:footnote w:id="15">
    <w:p w:rsidR="00E072ED" w:rsidRPr="0006122E" w:rsidRDefault="00E072ED" w:rsidP="00E072ED">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proofErr w:type="gramStart"/>
      <w:r w:rsidR="0048013F" w:rsidRPr="0006122E">
        <w:rPr>
          <w:rFonts w:ascii="Arial" w:hAnsi="Arial" w:cs="Arial"/>
        </w:rPr>
        <w:t>Ministry of Labour.</w:t>
      </w:r>
      <w:proofErr w:type="gramEnd"/>
      <w:r w:rsidR="0048013F" w:rsidRPr="0006122E">
        <w:rPr>
          <w:rFonts w:ascii="Arial" w:hAnsi="Arial" w:cs="Arial"/>
        </w:rPr>
        <w:t xml:space="preserve"> </w:t>
      </w:r>
      <w:proofErr w:type="gramStart"/>
      <w:r w:rsidR="0048013F" w:rsidRPr="0006122E">
        <w:rPr>
          <w:rFonts w:ascii="Arial" w:hAnsi="Arial" w:cs="Arial"/>
        </w:rPr>
        <w:t>"Ministry Financial Information."</w:t>
      </w:r>
      <w:proofErr w:type="gramEnd"/>
      <w:r w:rsidR="0048013F" w:rsidRPr="0006122E">
        <w:rPr>
          <w:rFonts w:ascii="Arial" w:hAnsi="Arial" w:cs="Arial"/>
        </w:rPr>
        <w:t xml:space="preserve"> </w:t>
      </w:r>
      <w:proofErr w:type="gramStart"/>
      <w:r w:rsidR="0048013F" w:rsidRPr="0006122E">
        <w:rPr>
          <w:rFonts w:ascii="Arial" w:hAnsi="Arial" w:cs="Arial"/>
        </w:rPr>
        <w:t>Ministry Financial Information.</w:t>
      </w:r>
      <w:proofErr w:type="gramEnd"/>
      <w:r w:rsidR="0048013F" w:rsidRPr="0006122E">
        <w:rPr>
          <w:rFonts w:ascii="Arial" w:hAnsi="Arial" w:cs="Arial"/>
        </w:rPr>
        <w:t xml:space="preserve"> 2013. Accessed July 3, 2015. http://www.labour.gov.on.ca/english/about/pubs/rbp/2013/rbp_7.php.</w:t>
      </w:r>
    </w:p>
  </w:footnote>
  <w:footnote w:id="16">
    <w:p w:rsidR="00E072ED" w:rsidRPr="0011640F" w:rsidRDefault="00E072ED" w:rsidP="00E072ED">
      <w:pPr>
        <w:pStyle w:val="FootnoteText"/>
        <w:rPr>
          <w:rFonts w:ascii="Calibri" w:hAnsi="Calibri" w:cs="Calibri"/>
        </w:rPr>
      </w:pPr>
      <w:r w:rsidRPr="0006122E">
        <w:rPr>
          <w:rStyle w:val="FootnoteReference"/>
          <w:rFonts w:ascii="Arial" w:hAnsi="Arial" w:cs="Arial"/>
        </w:rPr>
        <w:footnoteRef/>
      </w:r>
      <w:r w:rsidRPr="0006122E">
        <w:rPr>
          <w:rFonts w:ascii="Arial" w:hAnsi="Arial" w:cs="Arial"/>
        </w:rPr>
        <w:t xml:space="preserve"> </w:t>
      </w:r>
      <w:proofErr w:type="gramStart"/>
      <w:r w:rsidR="0048013F" w:rsidRPr="0006122E">
        <w:rPr>
          <w:rFonts w:ascii="Arial" w:hAnsi="Arial" w:cs="Arial"/>
        </w:rPr>
        <w:t>Ministry of Labour.</w:t>
      </w:r>
      <w:proofErr w:type="gramEnd"/>
      <w:r w:rsidR="0048013F" w:rsidRPr="0006122E">
        <w:rPr>
          <w:rFonts w:ascii="Arial" w:hAnsi="Arial" w:cs="Arial"/>
        </w:rPr>
        <w:t xml:space="preserve"> </w:t>
      </w:r>
      <w:proofErr w:type="gramStart"/>
      <w:r w:rsidR="0048013F" w:rsidRPr="0006122E">
        <w:rPr>
          <w:rFonts w:ascii="Arial" w:hAnsi="Arial" w:cs="Arial"/>
        </w:rPr>
        <w:t>"About the Ministry."</w:t>
      </w:r>
      <w:proofErr w:type="gramEnd"/>
      <w:r w:rsidR="0048013F" w:rsidRPr="0006122E">
        <w:rPr>
          <w:rFonts w:ascii="Arial" w:hAnsi="Arial" w:cs="Arial"/>
        </w:rPr>
        <w:t xml:space="preserve"> </w:t>
      </w:r>
      <w:proofErr w:type="gramStart"/>
      <w:r w:rsidR="0048013F" w:rsidRPr="0006122E">
        <w:rPr>
          <w:rFonts w:ascii="Arial" w:hAnsi="Arial" w:cs="Arial"/>
        </w:rPr>
        <w:t>Ministry of Labour.</w:t>
      </w:r>
      <w:proofErr w:type="gramEnd"/>
      <w:r w:rsidR="0048013F" w:rsidRPr="0006122E">
        <w:rPr>
          <w:rFonts w:ascii="Arial" w:hAnsi="Arial" w:cs="Arial"/>
        </w:rPr>
        <w:t xml:space="preserve"> </w:t>
      </w:r>
      <w:proofErr w:type="gramStart"/>
      <w:r w:rsidR="0048013F" w:rsidRPr="0006122E">
        <w:rPr>
          <w:rFonts w:ascii="Arial" w:hAnsi="Arial" w:cs="Arial"/>
        </w:rPr>
        <w:t>Accessed July 3, 2015.</w:t>
      </w:r>
      <w:proofErr w:type="gramEnd"/>
      <w:r w:rsidR="0048013F" w:rsidRPr="0006122E">
        <w:rPr>
          <w:rFonts w:ascii="Arial" w:hAnsi="Arial" w:cs="Arial"/>
        </w:rPr>
        <w:t xml:space="preserve"> http://www.labour.gov.on.ca/english/about/index.php.</w:t>
      </w:r>
    </w:p>
  </w:footnote>
  <w:footnote w:id="17">
    <w:p w:rsidR="00E072ED" w:rsidRPr="0006122E" w:rsidRDefault="00E072ED" w:rsidP="00E072ED">
      <w:pPr>
        <w:pStyle w:val="FootnoteText"/>
        <w:rPr>
          <w:rFonts w:ascii="Arial" w:hAnsi="Arial" w:cs="Arial"/>
        </w:rPr>
      </w:pPr>
      <w:r w:rsidRPr="0006122E">
        <w:rPr>
          <w:rStyle w:val="FootnoteReference"/>
          <w:rFonts w:ascii="Arial" w:hAnsi="Arial" w:cs="Arial"/>
        </w:rPr>
        <w:footnoteRef/>
      </w:r>
      <w:r w:rsidRPr="0006122E">
        <w:rPr>
          <w:rFonts w:ascii="Arial" w:hAnsi="Arial" w:cs="Arial"/>
        </w:rPr>
        <w:t xml:space="preserve"> </w:t>
      </w:r>
      <w:proofErr w:type="gramStart"/>
      <w:r w:rsidR="0036615F" w:rsidRPr="0006122E">
        <w:rPr>
          <w:rFonts w:ascii="Arial" w:hAnsi="Arial" w:cs="Arial"/>
        </w:rPr>
        <w:t>Ministry of Labour.</w:t>
      </w:r>
      <w:proofErr w:type="gramEnd"/>
      <w:r w:rsidR="0036615F" w:rsidRPr="0006122E">
        <w:rPr>
          <w:rFonts w:ascii="Arial" w:hAnsi="Arial" w:cs="Arial"/>
        </w:rPr>
        <w:t xml:space="preserve"> "Acts Administered by the Ministry of Labour: 2013-2014." Acts Administered by the Ministry Of Labour: 2013-2014. 2013. Accessed July 3, 2015. http://www.labour.gov.on.ca/english/about/pubs/rbp/2013/rbp_3.php. </w:t>
      </w:r>
    </w:p>
  </w:footnote>
  <w:footnote w:id="18">
    <w:p w:rsidR="00E072ED" w:rsidRPr="0011640F" w:rsidRDefault="00E072ED" w:rsidP="00E072ED">
      <w:pPr>
        <w:pStyle w:val="FootnoteText"/>
        <w:rPr>
          <w:rFonts w:ascii="Calibri" w:hAnsi="Calibri" w:cs="Calibri"/>
        </w:rPr>
      </w:pPr>
      <w:r w:rsidRPr="0006122E">
        <w:rPr>
          <w:rStyle w:val="FootnoteReference"/>
          <w:rFonts w:ascii="Arial" w:hAnsi="Arial" w:cs="Arial"/>
        </w:rPr>
        <w:footnoteRef/>
      </w:r>
      <w:r w:rsidRPr="0006122E">
        <w:rPr>
          <w:rFonts w:ascii="Arial" w:hAnsi="Arial" w:cs="Arial"/>
        </w:rPr>
        <w:t xml:space="preserve"> </w:t>
      </w:r>
      <w:proofErr w:type="gramStart"/>
      <w:r w:rsidR="0036615F" w:rsidRPr="0006122E">
        <w:rPr>
          <w:rFonts w:ascii="Arial" w:hAnsi="Arial" w:cs="Arial"/>
        </w:rPr>
        <w:t>Ontario Labour Relations Board.</w:t>
      </w:r>
      <w:proofErr w:type="gramEnd"/>
      <w:r w:rsidR="0036615F" w:rsidRPr="0006122E">
        <w:rPr>
          <w:rFonts w:ascii="Arial" w:hAnsi="Arial" w:cs="Arial"/>
        </w:rPr>
        <w:t xml:space="preserve"> "What Is the Ontario Labour Relations Board?" </w:t>
      </w:r>
      <w:proofErr w:type="gramStart"/>
      <w:r w:rsidR="0036615F" w:rsidRPr="0006122E">
        <w:rPr>
          <w:rFonts w:ascii="Arial" w:hAnsi="Arial" w:cs="Arial"/>
        </w:rPr>
        <w:t>About Us.</w:t>
      </w:r>
      <w:proofErr w:type="gramEnd"/>
      <w:r w:rsidR="0036615F" w:rsidRPr="0006122E">
        <w:rPr>
          <w:rFonts w:ascii="Arial" w:hAnsi="Arial" w:cs="Arial"/>
        </w:rPr>
        <w:t xml:space="preserve"> </w:t>
      </w:r>
      <w:proofErr w:type="gramStart"/>
      <w:r w:rsidR="0036615F" w:rsidRPr="0006122E">
        <w:rPr>
          <w:rFonts w:ascii="Arial" w:hAnsi="Arial" w:cs="Arial"/>
        </w:rPr>
        <w:t>Accessed July 3, 2015.</w:t>
      </w:r>
      <w:proofErr w:type="gramEnd"/>
      <w:r w:rsidR="0036615F" w:rsidRPr="0006122E">
        <w:rPr>
          <w:rFonts w:ascii="Arial" w:hAnsi="Arial" w:cs="Arial"/>
        </w:rPr>
        <w:t xml:space="preserve"> http://www.olrb.gov.on.ca/english/AboutUs.htm.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68" w:rsidRDefault="00AE37A2">
    <w:pPr>
      <w:pStyle w:val="Header"/>
    </w:pPr>
    <w:r>
      <w:rPr>
        <w:noProof/>
      </w:rPr>
      <w:drawing>
        <wp:inline distT="0" distB="0" distL="0" distR="0">
          <wp:extent cx="2133600" cy="990600"/>
          <wp:effectExtent l="0" t="0" r="0" b="0"/>
          <wp:docPr id="1" name="Picture 1"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133"/>
    <w:multiLevelType w:val="hybridMultilevel"/>
    <w:tmpl w:val="927ABE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C340EE"/>
    <w:multiLevelType w:val="hybridMultilevel"/>
    <w:tmpl w:val="CF9C1DE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9B746A1"/>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7908AA"/>
    <w:multiLevelType w:val="hybridMultilevel"/>
    <w:tmpl w:val="26B68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58B51BD"/>
    <w:multiLevelType w:val="hybridMultilevel"/>
    <w:tmpl w:val="0C6CEF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C7E0885"/>
    <w:multiLevelType w:val="hybridMultilevel"/>
    <w:tmpl w:val="F20C47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62117750"/>
    <w:multiLevelType w:val="hybridMultilevel"/>
    <w:tmpl w:val="EC505E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89A7B95"/>
    <w:multiLevelType w:val="hybridMultilevel"/>
    <w:tmpl w:val="D2A6C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2"/>
  </w:num>
  <w:num w:numId="6">
    <w:abstractNumId w:val="10"/>
  </w:num>
  <w:num w:numId="7">
    <w:abstractNumId w:val="3"/>
  </w:num>
  <w:num w:numId="8">
    <w:abstractNumId w:val="0"/>
  </w:num>
  <w:num w:numId="9">
    <w:abstractNumId w:val="7"/>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7"/>
    <w:rsid w:val="00014EA1"/>
    <w:rsid w:val="00023D0D"/>
    <w:rsid w:val="0003160F"/>
    <w:rsid w:val="0003566A"/>
    <w:rsid w:val="0003689C"/>
    <w:rsid w:val="00046607"/>
    <w:rsid w:val="00055DC0"/>
    <w:rsid w:val="0006122E"/>
    <w:rsid w:val="000653E3"/>
    <w:rsid w:val="000659F6"/>
    <w:rsid w:val="00065D18"/>
    <w:rsid w:val="000705AC"/>
    <w:rsid w:val="00075DEF"/>
    <w:rsid w:val="00080568"/>
    <w:rsid w:val="00082F64"/>
    <w:rsid w:val="00090B44"/>
    <w:rsid w:val="00091B13"/>
    <w:rsid w:val="000940A7"/>
    <w:rsid w:val="00094BE1"/>
    <w:rsid w:val="000C1451"/>
    <w:rsid w:val="000C3498"/>
    <w:rsid w:val="000C46B3"/>
    <w:rsid w:val="000D7463"/>
    <w:rsid w:val="000D7C67"/>
    <w:rsid w:val="000E1AA8"/>
    <w:rsid w:val="000E7233"/>
    <w:rsid w:val="000F0AEE"/>
    <w:rsid w:val="000F24A3"/>
    <w:rsid w:val="000F5F97"/>
    <w:rsid w:val="000F643B"/>
    <w:rsid w:val="00102B84"/>
    <w:rsid w:val="001120B3"/>
    <w:rsid w:val="00115CD4"/>
    <w:rsid w:val="0011640F"/>
    <w:rsid w:val="001171BA"/>
    <w:rsid w:val="00120CBB"/>
    <w:rsid w:val="0012176C"/>
    <w:rsid w:val="00124A71"/>
    <w:rsid w:val="00126058"/>
    <w:rsid w:val="00131C3B"/>
    <w:rsid w:val="001371D3"/>
    <w:rsid w:val="00140E49"/>
    <w:rsid w:val="00146B0D"/>
    <w:rsid w:val="00156008"/>
    <w:rsid w:val="00156D85"/>
    <w:rsid w:val="00167DD0"/>
    <w:rsid w:val="00174224"/>
    <w:rsid w:val="00191B19"/>
    <w:rsid w:val="00192AB5"/>
    <w:rsid w:val="001A0EBF"/>
    <w:rsid w:val="001A1012"/>
    <w:rsid w:val="001A2090"/>
    <w:rsid w:val="001A244F"/>
    <w:rsid w:val="001A34F2"/>
    <w:rsid w:val="001A7077"/>
    <w:rsid w:val="001B6509"/>
    <w:rsid w:val="001C4102"/>
    <w:rsid w:val="001C4B0D"/>
    <w:rsid w:val="001C4E13"/>
    <w:rsid w:val="001C596D"/>
    <w:rsid w:val="001C7179"/>
    <w:rsid w:val="001D65C0"/>
    <w:rsid w:val="001E2689"/>
    <w:rsid w:val="001F00A6"/>
    <w:rsid w:val="002014B8"/>
    <w:rsid w:val="00201680"/>
    <w:rsid w:val="00204184"/>
    <w:rsid w:val="00206855"/>
    <w:rsid w:val="00210276"/>
    <w:rsid w:val="00214801"/>
    <w:rsid w:val="00221579"/>
    <w:rsid w:val="0022345E"/>
    <w:rsid w:val="00224D24"/>
    <w:rsid w:val="0022668C"/>
    <w:rsid w:val="00235670"/>
    <w:rsid w:val="00240BEF"/>
    <w:rsid w:val="002509AA"/>
    <w:rsid w:val="0025223C"/>
    <w:rsid w:val="00252EDA"/>
    <w:rsid w:val="00263A3D"/>
    <w:rsid w:val="00264768"/>
    <w:rsid w:val="002804BB"/>
    <w:rsid w:val="00281CC1"/>
    <w:rsid w:val="0028666D"/>
    <w:rsid w:val="00296CC0"/>
    <w:rsid w:val="002A575A"/>
    <w:rsid w:val="002A69F5"/>
    <w:rsid w:val="002B0576"/>
    <w:rsid w:val="002B4296"/>
    <w:rsid w:val="002C42D4"/>
    <w:rsid w:val="002D125E"/>
    <w:rsid w:val="002D4E8F"/>
    <w:rsid w:val="002D6325"/>
    <w:rsid w:val="002D7337"/>
    <w:rsid w:val="002E6D2D"/>
    <w:rsid w:val="002F08F7"/>
    <w:rsid w:val="002F1A82"/>
    <w:rsid w:val="002F2438"/>
    <w:rsid w:val="002F3FEF"/>
    <w:rsid w:val="003126D2"/>
    <w:rsid w:val="003164CC"/>
    <w:rsid w:val="0032079D"/>
    <w:rsid w:val="00320A7C"/>
    <w:rsid w:val="0032322A"/>
    <w:rsid w:val="00323590"/>
    <w:rsid w:val="003262A7"/>
    <w:rsid w:val="00331141"/>
    <w:rsid w:val="00331C67"/>
    <w:rsid w:val="00334E4A"/>
    <w:rsid w:val="00335E55"/>
    <w:rsid w:val="00336750"/>
    <w:rsid w:val="00343F91"/>
    <w:rsid w:val="00357A49"/>
    <w:rsid w:val="00361418"/>
    <w:rsid w:val="003614EE"/>
    <w:rsid w:val="0036587A"/>
    <w:rsid w:val="0036615F"/>
    <w:rsid w:val="00375025"/>
    <w:rsid w:val="003971E1"/>
    <w:rsid w:val="003B645E"/>
    <w:rsid w:val="003C1466"/>
    <w:rsid w:val="003C525C"/>
    <w:rsid w:val="003C78C0"/>
    <w:rsid w:val="003D32F3"/>
    <w:rsid w:val="003D4371"/>
    <w:rsid w:val="003D488C"/>
    <w:rsid w:val="003D6990"/>
    <w:rsid w:val="003E74A8"/>
    <w:rsid w:val="003E7AFA"/>
    <w:rsid w:val="003F56FC"/>
    <w:rsid w:val="0040183C"/>
    <w:rsid w:val="0040234F"/>
    <w:rsid w:val="0040449F"/>
    <w:rsid w:val="0040492A"/>
    <w:rsid w:val="004052CE"/>
    <w:rsid w:val="00406CED"/>
    <w:rsid w:val="00411FB3"/>
    <w:rsid w:val="0041304C"/>
    <w:rsid w:val="00416878"/>
    <w:rsid w:val="00417302"/>
    <w:rsid w:val="0042029D"/>
    <w:rsid w:val="00420338"/>
    <w:rsid w:val="004218E0"/>
    <w:rsid w:val="00422488"/>
    <w:rsid w:val="00425358"/>
    <w:rsid w:val="004271C9"/>
    <w:rsid w:val="00430803"/>
    <w:rsid w:val="004341F2"/>
    <w:rsid w:val="0043431D"/>
    <w:rsid w:val="00445253"/>
    <w:rsid w:val="00445CAF"/>
    <w:rsid w:val="00451F7B"/>
    <w:rsid w:val="00456BF8"/>
    <w:rsid w:val="004609C3"/>
    <w:rsid w:val="00460D63"/>
    <w:rsid w:val="0046119A"/>
    <w:rsid w:val="0046327C"/>
    <w:rsid w:val="004656F5"/>
    <w:rsid w:val="00465E65"/>
    <w:rsid w:val="004664D6"/>
    <w:rsid w:val="0047156B"/>
    <w:rsid w:val="004762FC"/>
    <w:rsid w:val="0047646E"/>
    <w:rsid w:val="004769A8"/>
    <w:rsid w:val="0047736C"/>
    <w:rsid w:val="0048013F"/>
    <w:rsid w:val="00483AA9"/>
    <w:rsid w:val="00496B37"/>
    <w:rsid w:val="004A1DC5"/>
    <w:rsid w:val="004B12E8"/>
    <w:rsid w:val="004B2ADA"/>
    <w:rsid w:val="004B52F2"/>
    <w:rsid w:val="004C4171"/>
    <w:rsid w:val="004C4CDA"/>
    <w:rsid w:val="004C5246"/>
    <w:rsid w:val="004C5C4B"/>
    <w:rsid w:val="004C742A"/>
    <w:rsid w:val="004D0813"/>
    <w:rsid w:val="004D55CA"/>
    <w:rsid w:val="004D765A"/>
    <w:rsid w:val="004F104D"/>
    <w:rsid w:val="004F254D"/>
    <w:rsid w:val="004F4459"/>
    <w:rsid w:val="004F45E3"/>
    <w:rsid w:val="004F53E8"/>
    <w:rsid w:val="005012A5"/>
    <w:rsid w:val="00503528"/>
    <w:rsid w:val="005036A2"/>
    <w:rsid w:val="00503C64"/>
    <w:rsid w:val="00511748"/>
    <w:rsid w:val="00520D79"/>
    <w:rsid w:val="0052315E"/>
    <w:rsid w:val="0052477A"/>
    <w:rsid w:val="00530187"/>
    <w:rsid w:val="005309FE"/>
    <w:rsid w:val="00533E96"/>
    <w:rsid w:val="0053588B"/>
    <w:rsid w:val="00544AFD"/>
    <w:rsid w:val="00550B6E"/>
    <w:rsid w:val="0055700F"/>
    <w:rsid w:val="00557783"/>
    <w:rsid w:val="00557F70"/>
    <w:rsid w:val="005614C3"/>
    <w:rsid w:val="00561C35"/>
    <w:rsid w:val="00565D57"/>
    <w:rsid w:val="005672E6"/>
    <w:rsid w:val="00567B83"/>
    <w:rsid w:val="005717B3"/>
    <w:rsid w:val="00572255"/>
    <w:rsid w:val="005810F3"/>
    <w:rsid w:val="00587028"/>
    <w:rsid w:val="00587386"/>
    <w:rsid w:val="00592E40"/>
    <w:rsid w:val="00596F55"/>
    <w:rsid w:val="005A1ABB"/>
    <w:rsid w:val="005A2812"/>
    <w:rsid w:val="005A30C5"/>
    <w:rsid w:val="005A551A"/>
    <w:rsid w:val="005A6352"/>
    <w:rsid w:val="005B143A"/>
    <w:rsid w:val="005B377D"/>
    <w:rsid w:val="005B7B69"/>
    <w:rsid w:val="005C3F5C"/>
    <w:rsid w:val="005C4F9B"/>
    <w:rsid w:val="005C6448"/>
    <w:rsid w:val="005D6927"/>
    <w:rsid w:val="005E35F6"/>
    <w:rsid w:val="005F1335"/>
    <w:rsid w:val="005F678C"/>
    <w:rsid w:val="006105A4"/>
    <w:rsid w:val="00613918"/>
    <w:rsid w:val="00613B4B"/>
    <w:rsid w:val="00613F37"/>
    <w:rsid w:val="00614034"/>
    <w:rsid w:val="00615824"/>
    <w:rsid w:val="00617871"/>
    <w:rsid w:val="00630D87"/>
    <w:rsid w:val="00634E36"/>
    <w:rsid w:val="00637AD8"/>
    <w:rsid w:val="00646F49"/>
    <w:rsid w:val="00647DAF"/>
    <w:rsid w:val="00657B41"/>
    <w:rsid w:val="006610E2"/>
    <w:rsid w:val="00663323"/>
    <w:rsid w:val="00666195"/>
    <w:rsid w:val="006670E1"/>
    <w:rsid w:val="00670805"/>
    <w:rsid w:val="006749A4"/>
    <w:rsid w:val="00675E32"/>
    <w:rsid w:val="00676991"/>
    <w:rsid w:val="00681277"/>
    <w:rsid w:val="006816C0"/>
    <w:rsid w:val="006824DC"/>
    <w:rsid w:val="006843BF"/>
    <w:rsid w:val="006920FF"/>
    <w:rsid w:val="00695240"/>
    <w:rsid w:val="00696C80"/>
    <w:rsid w:val="006976EE"/>
    <w:rsid w:val="006A0742"/>
    <w:rsid w:val="006A4DA7"/>
    <w:rsid w:val="006B6791"/>
    <w:rsid w:val="006C152B"/>
    <w:rsid w:val="006C651B"/>
    <w:rsid w:val="006C75B2"/>
    <w:rsid w:val="006D0738"/>
    <w:rsid w:val="006D2CD5"/>
    <w:rsid w:val="006E1380"/>
    <w:rsid w:val="006E207C"/>
    <w:rsid w:val="006F2696"/>
    <w:rsid w:val="006F5859"/>
    <w:rsid w:val="00700DB2"/>
    <w:rsid w:val="0070558D"/>
    <w:rsid w:val="00705EAC"/>
    <w:rsid w:val="007103B0"/>
    <w:rsid w:val="007119AB"/>
    <w:rsid w:val="007203A2"/>
    <w:rsid w:val="00734113"/>
    <w:rsid w:val="00734D91"/>
    <w:rsid w:val="00736F61"/>
    <w:rsid w:val="007423E6"/>
    <w:rsid w:val="00742946"/>
    <w:rsid w:val="00742E53"/>
    <w:rsid w:val="00742E54"/>
    <w:rsid w:val="00744913"/>
    <w:rsid w:val="007569AE"/>
    <w:rsid w:val="00757D7F"/>
    <w:rsid w:val="00764640"/>
    <w:rsid w:val="00765887"/>
    <w:rsid w:val="00770C24"/>
    <w:rsid w:val="007714F1"/>
    <w:rsid w:val="00772B1D"/>
    <w:rsid w:val="00773B25"/>
    <w:rsid w:val="00773FE0"/>
    <w:rsid w:val="00777E07"/>
    <w:rsid w:val="007876E8"/>
    <w:rsid w:val="00792C79"/>
    <w:rsid w:val="007A2BB1"/>
    <w:rsid w:val="007A470B"/>
    <w:rsid w:val="007A5991"/>
    <w:rsid w:val="007B07B8"/>
    <w:rsid w:val="007B5E93"/>
    <w:rsid w:val="007C0AF1"/>
    <w:rsid w:val="007C296D"/>
    <w:rsid w:val="007C5649"/>
    <w:rsid w:val="007C569D"/>
    <w:rsid w:val="007C7177"/>
    <w:rsid w:val="007D0C17"/>
    <w:rsid w:val="007D6D6F"/>
    <w:rsid w:val="007D74B8"/>
    <w:rsid w:val="007F134E"/>
    <w:rsid w:val="007F2163"/>
    <w:rsid w:val="007F608A"/>
    <w:rsid w:val="00806AE3"/>
    <w:rsid w:val="00810FFC"/>
    <w:rsid w:val="008161F1"/>
    <w:rsid w:val="00816E19"/>
    <w:rsid w:val="008178AA"/>
    <w:rsid w:val="0083110F"/>
    <w:rsid w:val="008343B2"/>
    <w:rsid w:val="0083491B"/>
    <w:rsid w:val="008417FF"/>
    <w:rsid w:val="008453C7"/>
    <w:rsid w:val="00845A03"/>
    <w:rsid w:val="00846D45"/>
    <w:rsid w:val="00851C29"/>
    <w:rsid w:val="008536F5"/>
    <w:rsid w:val="0085574C"/>
    <w:rsid w:val="008561C6"/>
    <w:rsid w:val="0086126C"/>
    <w:rsid w:val="008655ED"/>
    <w:rsid w:val="00867A3C"/>
    <w:rsid w:val="00870314"/>
    <w:rsid w:val="00870C96"/>
    <w:rsid w:val="00871FE4"/>
    <w:rsid w:val="00883E88"/>
    <w:rsid w:val="00890A6D"/>
    <w:rsid w:val="00891B8E"/>
    <w:rsid w:val="008956C7"/>
    <w:rsid w:val="008A39AB"/>
    <w:rsid w:val="008A45B2"/>
    <w:rsid w:val="008B0337"/>
    <w:rsid w:val="008B27AD"/>
    <w:rsid w:val="008B2F4B"/>
    <w:rsid w:val="008B4735"/>
    <w:rsid w:val="008D2F75"/>
    <w:rsid w:val="008D3DD9"/>
    <w:rsid w:val="008D7E6D"/>
    <w:rsid w:val="008E5D83"/>
    <w:rsid w:val="008E6F46"/>
    <w:rsid w:val="008E73DB"/>
    <w:rsid w:val="008E7E5A"/>
    <w:rsid w:val="008F3074"/>
    <w:rsid w:val="008F3713"/>
    <w:rsid w:val="008F566B"/>
    <w:rsid w:val="009001B9"/>
    <w:rsid w:val="00900786"/>
    <w:rsid w:val="0090424E"/>
    <w:rsid w:val="00906917"/>
    <w:rsid w:val="00912973"/>
    <w:rsid w:val="00914256"/>
    <w:rsid w:val="0091730B"/>
    <w:rsid w:val="00932CA5"/>
    <w:rsid w:val="00936523"/>
    <w:rsid w:val="00936741"/>
    <w:rsid w:val="009379CB"/>
    <w:rsid w:val="00951689"/>
    <w:rsid w:val="009604F2"/>
    <w:rsid w:val="0096266D"/>
    <w:rsid w:val="00966DC6"/>
    <w:rsid w:val="00967339"/>
    <w:rsid w:val="00973D6B"/>
    <w:rsid w:val="0098061F"/>
    <w:rsid w:val="00981E95"/>
    <w:rsid w:val="0098208E"/>
    <w:rsid w:val="009857E7"/>
    <w:rsid w:val="00990030"/>
    <w:rsid w:val="00990449"/>
    <w:rsid w:val="009974FD"/>
    <w:rsid w:val="009976D4"/>
    <w:rsid w:val="00997A4D"/>
    <w:rsid w:val="009B5720"/>
    <w:rsid w:val="009C1D22"/>
    <w:rsid w:val="009C2A80"/>
    <w:rsid w:val="009D10CB"/>
    <w:rsid w:val="009D34C4"/>
    <w:rsid w:val="009D5C40"/>
    <w:rsid w:val="009E077C"/>
    <w:rsid w:val="009F25A1"/>
    <w:rsid w:val="00A00602"/>
    <w:rsid w:val="00A01C1D"/>
    <w:rsid w:val="00A03222"/>
    <w:rsid w:val="00A06001"/>
    <w:rsid w:val="00A0656E"/>
    <w:rsid w:val="00A06641"/>
    <w:rsid w:val="00A1288B"/>
    <w:rsid w:val="00A27D5E"/>
    <w:rsid w:val="00A30337"/>
    <w:rsid w:val="00A415B7"/>
    <w:rsid w:val="00A42B93"/>
    <w:rsid w:val="00A42F23"/>
    <w:rsid w:val="00A44A44"/>
    <w:rsid w:val="00A454C7"/>
    <w:rsid w:val="00A60ED9"/>
    <w:rsid w:val="00A76964"/>
    <w:rsid w:val="00A86682"/>
    <w:rsid w:val="00A9457C"/>
    <w:rsid w:val="00A9751D"/>
    <w:rsid w:val="00AA073E"/>
    <w:rsid w:val="00AA1DE2"/>
    <w:rsid w:val="00AA3B8F"/>
    <w:rsid w:val="00AA4E09"/>
    <w:rsid w:val="00AA5AE7"/>
    <w:rsid w:val="00AA5B6B"/>
    <w:rsid w:val="00AB7AD1"/>
    <w:rsid w:val="00AC516B"/>
    <w:rsid w:val="00AC6434"/>
    <w:rsid w:val="00AD1A0B"/>
    <w:rsid w:val="00AD4145"/>
    <w:rsid w:val="00AE37A2"/>
    <w:rsid w:val="00AF6315"/>
    <w:rsid w:val="00B00A74"/>
    <w:rsid w:val="00B01B75"/>
    <w:rsid w:val="00B053B5"/>
    <w:rsid w:val="00B10FA9"/>
    <w:rsid w:val="00B15AE4"/>
    <w:rsid w:val="00B15AEF"/>
    <w:rsid w:val="00B16715"/>
    <w:rsid w:val="00B20DC7"/>
    <w:rsid w:val="00B21166"/>
    <w:rsid w:val="00B4010F"/>
    <w:rsid w:val="00B41B20"/>
    <w:rsid w:val="00B43B0B"/>
    <w:rsid w:val="00B4643E"/>
    <w:rsid w:val="00B4660B"/>
    <w:rsid w:val="00B53939"/>
    <w:rsid w:val="00B61643"/>
    <w:rsid w:val="00B66B46"/>
    <w:rsid w:val="00B72AA2"/>
    <w:rsid w:val="00B734FF"/>
    <w:rsid w:val="00B74042"/>
    <w:rsid w:val="00B942F0"/>
    <w:rsid w:val="00BA04C6"/>
    <w:rsid w:val="00BA06AB"/>
    <w:rsid w:val="00BA3C67"/>
    <w:rsid w:val="00BA4C22"/>
    <w:rsid w:val="00BB1B56"/>
    <w:rsid w:val="00BB302B"/>
    <w:rsid w:val="00BB4858"/>
    <w:rsid w:val="00BB76EB"/>
    <w:rsid w:val="00BC44CC"/>
    <w:rsid w:val="00BC4557"/>
    <w:rsid w:val="00BC735C"/>
    <w:rsid w:val="00BE3CC0"/>
    <w:rsid w:val="00BE3F34"/>
    <w:rsid w:val="00BE4FFF"/>
    <w:rsid w:val="00BE5B0A"/>
    <w:rsid w:val="00BF1B30"/>
    <w:rsid w:val="00C01299"/>
    <w:rsid w:val="00C023D1"/>
    <w:rsid w:val="00C11BDD"/>
    <w:rsid w:val="00C272BA"/>
    <w:rsid w:val="00C31081"/>
    <w:rsid w:val="00C31276"/>
    <w:rsid w:val="00C35BE6"/>
    <w:rsid w:val="00C40616"/>
    <w:rsid w:val="00C473B3"/>
    <w:rsid w:val="00C511AE"/>
    <w:rsid w:val="00C566EE"/>
    <w:rsid w:val="00C617CE"/>
    <w:rsid w:val="00C6483C"/>
    <w:rsid w:val="00C70F0A"/>
    <w:rsid w:val="00C80934"/>
    <w:rsid w:val="00C82B53"/>
    <w:rsid w:val="00C843B0"/>
    <w:rsid w:val="00C91542"/>
    <w:rsid w:val="00C950E5"/>
    <w:rsid w:val="00CA2666"/>
    <w:rsid w:val="00CA446E"/>
    <w:rsid w:val="00CB38F1"/>
    <w:rsid w:val="00CB79BD"/>
    <w:rsid w:val="00CC08F0"/>
    <w:rsid w:val="00CC1A7B"/>
    <w:rsid w:val="00CD0044"/>
    <w:rsid w:val="00CD54E4"/>
    <w:rsid w:val="00CE0D92"/>
    <w:rsid w:val="00CE29A3"/>
    <w:rsid w:val="00CE4D2D"/>
    <w:rsid w:val="00CF5E2F"/>
    <w:rsid w:val="00CF6225"/>
    <w:rsid w:val="00D03F4D"/>
    <w:rsid w:val="00D0733B"/>
    <w:rsid w:val="00D134FB"/>
    <w:rsid w:val="00D171FA"/>
    <w:rsid w:val="00D20D39"/>
    <w:rsid w:val="00D2424F"/>
    <w:rsid w:val="00D40C77"/>
    <w:rsid w:val="00D44949"/>
    <w:rsid w:val="00D5142F"/>
    <w:rsid w:val="00D521EA"/>
    <w:rsid w:val="00D53529"/>
    <w:rsid w:val="00D55258"/>
    <w:rsid w:val="00D55529"/>
    <w:rsid w:val="00D55DCF"/>
    <w:rsid w:val="00D6158D"/>
    <w:rsid w:val="00D64983"/>
    <w:rsid w:val="00D77D4C"/>
    <w:rsid w:val="00D80DF3"/>
    <w:rsid w:val="00D822E1"/>
    <w:rsid w:val="00D84BD5"/>
    <w:rsid w:val="00D84BFD"/>
    <w:rsid w:val="00D87332"/>
    <w:rsid w:val="00D908CC"/>
    <w:rsid w:val="00D9555C"/>
    <w:rsid w:val="00D96EB0"/>
    <w:rsid w:val="00DA1BF6"/>
    <w:rsid w:val="00DA3A68"/>
    <w:rsid w:val="00DC01F5"/>
    <w:rsid w:val="00DC1FF0"/>
    <w:rsid w:val="00DC2DD6"/>
    <w:rsid w:val="00DC3494"/>
    <w:rsid w:val="00DC4476"/>
    <w:rsid w:val="00DD697F"/>
    <w:rsid w:val="00DE1CC2"/>
    <w:rsid w:val="00DE4862"/>
    <w:rsid w:val="00DE587D"/>
    <w:rsid w:val="00DE7171"/>
    <w:rsid w:val="00DF00E6"/>
    <w:rsid w:val="00DF07BD"/>
    <w:rsid w:val="00DF44C0"/>
    <w:rsid w:val="00DF6545"/>
    <w:rsid w:val="00DF6DF8"/>
    <w:rsid w:val="00E00FAF"/>
    <w:rsid w:val="00E01AF0"/>
    <w:rsid w:val="00E022C6"/>
    <w:rsid w:val="00E04FFF"/>
    <w:rsid w:val="00E072ED"/>
    <w:rsid w:val="00E0786A"/>
    <w:rsid w:val="00E112E0"/>
    <w:rsid w:val="00E11478"/>
    <w:rsid w:val="00E20992"/>
    <w:rsid w:val="00E46D30"/>
    <w:rsid w:val="00E47414"/>
    <w:rsid w:val="00E52EBF"/>
    <w:rsid w:val="00E55291"/>
    <w:rsid w:val="00E71649"/>
    <w:rsid w:val="00E717E0"/>
    <w:rsid w:val="00E71FE6"/>
    <w:rsid w:val="00E72F3F"/>
    <w:rsid w:val="00E77064"/>
    <w:rsid w:val="00E90E18"/>
    <w:rsid w:val="00E922F7"/>
    <w:rsid w:val="00E94B6F"/>
    <w:rsid w:val="00E94D71"/>
    <w:rsid w:val="00E95576"/>
    <w:rsid w:val="00EA60EE"/>
    <w:rsid w:val="00EA74F3"/>
    <w:rsid w:val="00EB275C"/>
    <w:rsid w:val="00EB2FEC"/>
    <w:rsid w:val="00EB3CCB"/>
    <w:rsid w:val="00EB3DDA"/>
    <w:rsid w:val="00EB587D"/>
    <w:rsid w:val="00EB71F8"/>
    <w:rsid w:val="00EC2DE4"/>
    <w:rsid w:val="00EC3A6D"/>
    <w:rsid w:val="00EC6632"/>
    <w:rsid w:val="00EE1756"/>
    <w:rsid w:val="00EE4365"/>
    <w:rsid w:val="00EF0C4F"/>
    <w:rsid w:val="00EF1A3A"/>
    <w:rsid w:val="00EF354D"/>
    <w:rsid w:val="00F03292"/>
    <w:rsid w:val="00F05EF2"/>
    <w:rsid w:val="00F100F6"/>
    <w:rsid w:val="00F12CA0"/>
    <w:rsid w:val="00F229FA"/>
    <w:rsid w:val="00F23231"/>
    <w:rsid w:val="00F25615"/>
    <w:rsid w:val="00F31753"/>
    <w:rsid w:val="00F36B7F"/>
    <w:rsid w:val="00F37CD5"/>
    <w:rsid w:val="00F41A87"/>
    <w:rsid w:val="00F4566C"/>
    <w:rsid w:val="00F54ACA"/>
    <w:rsid w:val="00F60DAD"/>
    <w:rsid w:val="00F6333D"/>
    <w:rsid w:val="00F7188C"/>
    <w:rsid w:val="00F725AD"/>
    <w:rsid w:val="00F75F1A"/>
    <w:rsid w:val="00F80470"/>
    <w:rsid w:val="00F823F2"/>
    <w:rsid w:val="00F834B3"/>
    <w:rsid w:val="00F837D5"/>
    <w:rsid w:val="00F8512C"/>
    <w:rsid w:val="00F87A5F"/>
    <w:rsid w:val="00F95509"/>
    <w:rsid w:val="00FA20DD"/>
    <w:rsid w:val="00FA3B1B"/>
    <w:rsid w:val="00FA5E41"/>
    <w:rsid w:val="00FB3718"/>
    <w:rsid w:val="00FB4F67"/>
    <w:rsid w:val="00FB662B"/>
    <w:rsid w:val="00FB7D0C"/>
    <w:rsid w:val="00FC0765"/>
    <w:rsid w:val="00FD0859"/>
    <w:rsid w:val="00FD1E51"/>
    <w:rsid w:val="00FD2E4F"/>
    <w:rsid w:val="00FD61D1"/>
    <w:rsid w:val="00FD6858"/>
    <w:rsid w:val="00FE05DF"/>
    <w:rsid w:val="00FE2E1B"/>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1640F"/>
    <w:pPr>
      <w:keepNext/>
      <w:spacing w:before="240" w:after="60"/>
      <w:outlineLvl w:val="0"/>
    </w:pPr>
    <w:rPr>
      <w:rFonts w:ascii="Arial" w:hAnsi="Arial" w:cs="Arial"/>
      <w:bCs/>
      <w:kern w:val="32"/>
      <w:sz w:val="40"/>
      <w:szCs w:val="40"/>
    </w:rPr>
  </w:style>
  <w:style w:type="paragraph" w:styleId="Heading2">
    <w:name w:val="heading 2"/>
    <w:basedOn w:val="Normal"/>
    <w:next w:val="Normal"/>
    <w:link w:val="Heading2Char"/>
    <w:unhideWhenUsed/>
    <w:qFormat/>
    <w:rsid w:val="0011640F"/>
    <w:pPr>
      <w:keepNext/>
      <w:spacing w:before="240" w:after="60"/>
      <w:outlineLvl w:val="1"/>
    </w:pPr>
    <w:rPr>
      <w:rFonts w:ascii="Arial" w:hAnsi="Arial"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character" w:styleId="Hyperlink">
    <w:name w:val="Hyperlink"/>
    <w:uiPriority w:val="99"/>
    <w:rsid w:val="002014B8"/>
    <w:rPr>
      <w:color w:val="0000FF"/>
      <w:u w:val="single"/>
    </w:rPr>
  </w:style>
  <w:style w:type="character" w:styleId="CommentReference">
    <w:name w:val="annotation reference"/>
    <w:rsid w:val="008956C7"/>
    <w:rPr>
      <w:sz w:val="16"/>
      <w:szCs w:val="16"/>
    </w:rPr>
  </w:style>
  <w:style w:type="paragraph" w:styleId="CommentText">
    <w:name w:val="annotation text"/>
    <w:basedOn w:val="Normal"/>
    <w:link w:val="CommentTextChar"/>
    <w:rsid w:val="008956C7"/>
    <w:rPr>
      <w:sz w:val="20"/>
      <w:szCs w:val="20"/>
    </w:rPr>
  </w:style>
  <w:style w:type="character" w:customStyle="1" w:styleId="CommentTextChar">
    <w:name w:val="Comment Text Char"/>
    <w:basedOn w:val="DefaultParagraphFont"/>
    <w:link w:val="CommentText"/>
    <w:rsid w:val="008956C7"/>
  </w:style>
  <w:style w:type="paragraph" w:styleId="CommentSubject">
    <w:name w:val="annotation subject"/>
    <w:basedOn w:val="CommentText"/>
    <w:next w:val="CommentText"/>
    <w:link w:val="CommentSubjectChar"/>
    <w:rsid w:val="008956C7"/>
    <w:rPr>
      <w:b/>
      <w:bCs/>
    </w:rPr>
  </w:style>
  <w:style w:type="character" w:customStyle="1" w:styleId="CommentSubjectChar">
    <w:name w:val="Comment Subject Char"/>
    <w:link w:val="CommentSubject"/>
    <w:rsid w:val="008956C7"/>
    <w:rPr>
      <w:b/>
      <w:bCs/>
    </w:rPr>
  </w:style>
  <w:style w:type="paragraph" w:styleId="ListParagraph">
    <w:name w:val="List Paragraph"/>
    <w:basedOn w:val="Normal"/>
    <w:uiPriority w:val="34"/>
    <w:qFormat/>
    <w:rsid w:val="00FA20DD"/>
    <w:pPr>
      <w:ind w:left="720"/>
      <w:contextualSpacing/>
    </w:pPr>
  </w:style>
  <w:style w:type="paragraph" w:styleId="Title">
    <w:name w:val="Title"/>
    <w:basedOn w:val="Normal"/>
    <w:next w:val="Normal"/>
    <w:link w:val="TitleChar"/>
    <w:qFormat/>
    <w:rsid w:val="0011640F"/>
    <w:pPr>
      <w:spacing w:before="240" w:after="60"/>
      <w:jc w:val="center"/>
      <w:outlineLvl w:val="0"/>
    </w:pPr>
    <w:rPr>
      <w:rFonts w:ascii="Cambria" w:hAnsi="Cambria"/>
      <w:b/>
      <w:bCs/>
      <w:kern w:val="28"/>
      <w:sz w:val="32"/>
      <w:szCs w:val="32"/>
    </w:rPr>
  </w:style>
  <w:style w:type="character" w:customStyle="1" w:styleId="TitleChar">
    <w:name w:val="Title Char"/>
    <w:link w:val="Title"/>
    <w:rsid w:val="0011640F"/>
    <w:rPr>
      <w:rFonts w:ascii="Cambria" w:eastAsia="Times New Roman" w:hAnsi="Cambria" w:cs="Times New Roman"/>
      <w:b/>
      <w:bCs/>
      <w:kern w:val="28"/>
      <w:sz w:val="32"/>
      <w:szCs w:val="32"/>
    </w:rPr>
  </w:style>
  <w:style w:type="character" w:customStyle="1" w:styleId="Heading1Char">
    <w:name w:val="Heading 1 Char"/>
    <w:link w:val="Heading1"/>
    <w:rsid w:val="0011640F"/>
    <w:rPr>
      <w:rFonts w:ascii="Arial" w:eastAsia="Times New Roman" w:hAnsi="Arial" w:cs="Arial"/>
      <w:bCs/>
      <w:kern w:val="32"/>
      <w:sz w:val="40"/>
      <w:szCs w:val="40"/>
    </w:rPr>
  </w:style>
  <w:style w:type="character" w:customStyle="1" w:styleId="Heading2Char">
    <w:name w:val="Heading 2 Char"/>
    <w:link w:val="Heading2"/>
    <w:rsid w:val="0011640F"/>
    <w:rPr>
      <w:rFonts w:ascii="Arial" w:eastAsia="Times New Roman" w:hAnsi="Arial" w:cs="Arial"/>
      <w:bCs/>
      <w:iCs/>
      <w:sz w:val="28"/>
      <w:szCs w:val="28"/>
    </w:rPr>
  </w:style>
  <w:style w:type="paragraph" w:styleId="TOCHeading">
    <w:name w:val="TOC Heading"/>
    <w:basedOn w:val="Heading1"/>
    <w:next w:val="Normal"/>
    <w:uiPriority w:val="39"/>
    <w:unhideWhenUsed/>
    <w:qFormat/>
    <w:rsid w:val="0011640F"/>
    <w:pPr>
      <w:keepLines/>
      <w:spacing w:before="480" w:after="0" w:line="276" w:lineRule="auto"/>
      <w:outlineLvl w:val="9"/>
    </w:pPr>
    <w:rPr>
      <w:rFonts w:ascii="Cambria" w:hAnsi="Cambria" w:cs="Times New Roman"/>
      <w:b/>
      <w:color w:val="365F91"/>
      <w:kern w:val="0"/>
      <w:sz w:val="28"/>
      <w:szCs w:val="28"/>
      <w:lang w:val="en-US" w:eastAsia="ja-JP"/>
    </w:rPr>
  </w:style>
  <w:style w:type="paragraph" w:styleId="TOC1">
    <w:name w:val="toc 1"/>
    <w:basedOn w:val="Normal"/>
    <w:next w:val="Normal"/>
    <w:autoRedefine/>
    <w:uiPriority w:val="39"/>
    <w:rsid w:val="0011640F"/>
  </w:style>
  <w:style w:type="paragraph" w:styleId="TOC2">
    <w:name w:val="toc 2"/>
    <w:basedOn w:val="Normal"/>
    <w:next w:val="Normal"/>
    <w:autoRedefine/>
    <w:uiPriority w:val="39"/>
    <w:rsid w:val="0011640F"/>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1640F"/>
    <w:pPr>
      <w:keepNext/>
      <w:spacing w:before="240" w:after="60"/>
      <w:outlineLvl w:val="0"/>
    </w:pPr>
    <w:rPr>
      <w:rFonts w:ascii="Arial" w:hAnsi="Arial" w:cs="Arial"/>
      <w:bCs/>
      <w:kern w:val="32"/>
      <w:sz w:val="40"/>
      <w:szCs w:val="40"/>
    </w:rPr>
  </w:style>
  <w:style w:type="paragraph" w:styleId="Heading2">
    <w:name w:val="heading 2"/>
    <w:basedOn w:val="Normal"/>
    <w:next w:val="Normal"/>
    <w:link w:val="Heading2Char"/>
    <w:unhideWhenUsed/>
    <w:qFormat/>
    <w:rsid w:val="0011640F"/>
    <w:pPr>
      <w:keepNext/>
      <w:spacing w:before="240" w:after="60"/>
      <w:outlineLvl w:val="1"/>
    </w:pPr>
    <w:rPr>
      <w:rFonts w:ascii="Arial" w:hAnsi="Arial"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character" w:styleId="Hyperlink">
    <w:name w:val="Hyperlink"/>
    <w:uiPriority w:val="99"/>
    <w:rsid w:val="002014B8"/>
    <w:rPr>
      <w:color w:val="0000FF"/>
      <w:u w:val="single"/>
    </w:rPr>
  </w:style>
  <w:style w:type="character" w:styleId="CommentReference">
    <w:name w:val="annotation reference"/>
    <w:rsid w:val="008956C7"/>
    <w:rPr>
      <w:sz w:val="16"/>
      <w:szCs w:val="16"/>
    </w:rPr>
  </w:style>
  <w:style w:type="paragraph" w:styleId="CommentText">
    <w:name w:val="annotation text"/>
    <w:basedOn w:val="Normal"/>
    <w:link w:val="CommentTextChar"/>
    <w:rsid w:val="008956C7"/>
    <w:rPr>
      <w:sz w:val="20"/>
      <w:szCs w:val="20"/>
    </w:rPr>
  </w:style>
  <w:style w:type="character" w:customStyle="1" w:styleId="CommentTextChar">
    <w:name w:val="Comment Text Char"/>
    <w:basedOn w:val="DefaultParagraphFont"/>
    <w:link w:val="CommentText"/>
    <w:rsid w:val="008956C7"/>
  </w:style>
  <w:style w:type="paragraph" w:styleId="CommentSubject">
    <w:name w:val="annotation subject"/>
    <w:basedOn w:val="CommentText"/>
    <w:next w:val="CommentText"/>
    <w:link w:val="CommentSubjectChar"/>
    <w:rsid w:val="008956C7"/>
    <w:rPr>
      <w:b/>
      <w:bCs/>
    </w:rPr>
  </w:style>
  <w:style w:type="character" w:customStyle="1" w:styleId="CommentSubjectChar">
    <w:name w:val="Comment Subject Char"/>
    <w:link w:val="CommentSubject"/>
    <w:rsid w:val="008956C7"/>
    <w:rPr>
      <w:b/>
      <w:bCs/>
    </w:rPr>
  </w:style>
  <w:style w:type="paragraph" w:styleId="ListParagraph">
    <w:name w:val="List Paragraph"/>
    <w:basedOn w:val="Normal"/>
    <w:uiPriority w:val="34"/>
    <w:qFormat/>
    <w:rsid w:val="00FA20DD"/>
    <w:pPr>
      <w:ind w:left="720"/>
      <w:contextualSpacing/>
    </w:pPr>
  </w:style>
  <w:style w:type="paragraph" w:styleId="Title">
    <w:name w:val="Title"/>
    <w:basedOn w:val="Normal"/>
    <w:next w:val="Normal"/>
    <w:link w:val="TitleChar"/>
    <w:qFormat/>
    <w:rsid w:val="0011640F"/>
    <w:pPr>
      <w:spacing w:before="240" w:after="60"/>
      <w:jc w:val="center"/>
      <w:outlineLvl w:val="0"/>
    </w:pPr>
    <w:rPr>
      <w:rFonts w:ascii="Cambria" w:hAnsi="Cambria"/>
      <w:b/>
      <w:bCs/>
      <w:kern w:val="28"/>
      <w:sz w:val="32"/>
      <w:szCs w:val="32"/>
    </w:rPr>
  </w:style>
  <w:style w:type="character" w:customStyle="1" w:styleId="TitleChar">
    <w:name w:val="Title Char"/>
    <w:link w:val="Title"/>
    <w:rsid w:val="0011640F"/>
    <w:rPr>
      <w:rFonts w:ascii="Cambria" w:eastAsia="Times New Roman" w:hAnsi="Cambria" w:cs="Times New Roman"/>
      <w:b/>
      <w:bCs/>
      <w:kern w:val="28"/>
      <w:sz w:val="32"/>
      <w:szCs w:val="32"/>
    </w:rPr>
  </w:style>
  <w:style w:type="character" w:customStyle="1" w:styleId="Heading1Char">
    <w:name w:val="Heading 1 Char"/>
    <w:link w:val="Heading1"/>
    <w:rsid w:val="0011640F"/>
    <w:rPr>
      <w:rFonts w:ascii="Arial" w:eastAsia="Times New Roman" w:hAnsi="Arial" w:cs="Arial"/>
      <w:bCs/>
      <w:kern w:val="32"/>
      <w:sz w:val="40"/>
      <w:szCs w:val="40"/>
    </w:rPr>
  </w:style>
  <w:style w:type="character" w:customStyle="1" w:styleId="Heading2Char">
    <w:name w:val="Heading 2 Char"/>
    <w:link w:val="Heading2"/>
    <w:rsid w:val="0011640F"/>
    <w:rPr>
      <w:rFonts w:ascii="Arial" w:eastAsia="Times New Roman" w:hAnsi="Arial" w:cs="Arial"/>
      <w:bCs/>
      <w:iCs/>
      <w:sz w:val="28"/>
      <w:szCs w:val="28"/>
    </w:rPr>
  </w:style>
  <w:style w:type="paragraph" w:styleId="TOCHeading">
    <w:name w:val="TOC Heading"/>
    <w:basedOn w:val="Heading1"/>
    <w:next w:val="Normal"/>
    <w:uiPriority w:val="39"/>
    <w:unhideWhenUsed/>
    <w:qFormat/>
    <w:rsid w:val="0011640F"/>
    <w:pPr>
      <w:keepLines/>
      <w:spacing w:before="480" w:after="0" w:line="276" w:lineRule="auto"/>
      <w:outlineLvl w:val="9"/>
    </w:pPr>
    <w:rPr>
      <w:rFonts w:ascii="Cambria" w:hAnsi="Cambria" w:cs="Times New Roman"/>
      <w:b/>
      <w:color w:val="365F91"/>
      <w:kern w:val="0"/>
      <w:sz w:val="28"/>
      <w:szCs w:val="28"/>
      <w:lang w:val="en-US" w:eastAsia="ja-JP"/>
    </w:rPr>
  </w:style>
  <w:style w:type="paragraph" w:styleId="TOC1">
    <w:name w:val="toc 1"/>
    <w:basedOn w:val="Normal"/>
    <w:next w:val="Normal"/>
    <w:autoRedefine/>
    <w:uiPriority w:val="39"/>
    <w:rsid w:val="0011640F"/>
  </w:style>
  <w:style w:type="paragraph" w:styleId="TOC2">
    <w:name w:val="toc 2"/>
    <w:basedOn w:val="Normal"/>
    <w:next w:val="Normal"/>
    <w:autoRedefine/>
    <w:uiPriority w:val="39"/>
    <w:rsid w:val="0011640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4901">
      <w:bodyDiv w:val="1"/>
      <w:marLeft w:val="0"/>
      <w:marRight w:val="0"/>
      <w:marTop w:val="0"/>
      <w:marBottom w:val="0"/>
      <w:divBdr>
        <w:top w:val="none" w:sz="0" w:space="0" w:color="auto"/>
        <w:left w:val="none" w:sz="0" w:space="0" w:color="auto"/>
        <w:bottom w:val="none" w:sz="0" w:space="0" w:color="auto"/>
        <w:right w:val="none" w:sz="0" w:space="0" w:color="auto"/>
      </w:divBdr>
      <w:divsChild>
        <w:div w:id="2067676975">
          <w:marLeft w:val="0"/>
          <w:marRight w:val="0"/>
          <w:marTop w:val="0"/>
          <w:marBottom w:val="0"/>
          <w:divBdr>
            <w:top w:val="none" w:sz="0" w:space="0" w:color="auto"/>
            <w:left w:val="none" w:sz="0" w:space="0" w:color="auto"/>
            <w:bottom w:val="none" w:sz="0" w:space="0" w:color="auto"/>
            <w:right w:val="none" w:sz="0" w:space="0" w:color="auto"/>
          </w:divBdr>
        </w:div>
      </w:divsChild>
    </w:div>
    <w:div w:id="382564912">
      <w:bodyDiv w:val="1"/>
      <w:marLeft w:val="0"/>
      <w:marRight w:val="0"/>
      <w:marTop w:val="0"/>
      <w:marBottom w:val="0"/>
      <w:divBdr>
        <w:top w:val="none" w:sz="0" w:space="0" w:color="auto"/>
        <w:left w:val="none" w:sz="0" w:space="0" w:color="auto"/>
        <w:bottom w:val="none" w:sz="0" w:space="0" w:color="auto"/>
        <w:right w:val="none" w:sz="0" w:space="0" w:color="auto"/>
      </w:divBdr>
      <w:divsChild>
        <w:div w:id="66805697">
          <w:marLeft w:val="0"/>
          <w:marRight w:val="0"/>
          <w:marTop w:val="0"/>
          <w:marBottom w:val="0"/>
          <w:divBdr>
            <w:top w:val="none" w:sz="0" w:space="0" w:color="auto"/>
            <w:left w:val="none" w:sz="0" w:space="0" w:color="auto"/>
            <w:bottom w:val="none" w:sz="0" w:space="0" w:color="auto"/>
            <w:right w:val="none" w:sz="0" w:space="0" w:color="auto"/>
          </w:divBdr>
        </w:div>
      </w:divsChild>
    </w:div>
    <w:div w:id="401561802">
      <w:bodyDiv w:val="1"/>
      <w:marLeft w:val="0"/>
      <w:marRight w:val="0"/>
      <w:marTop w:val="0"/>
      <w:marBottom w:val="0"/>
      <w:divBdr>
        <w:top w:val="none" w:sz="0" w:space="0" w:color="auto"/>
        <w:left w:val="none" w:sz="0" w:space="0" w:color="auto"/>
        <w:bottom w:val="none" w:sz="0" w:space="0" w:color="auto"/>
        <w:right w:val="none" w:sz="0" w:space="0" w:color="auto"/>
      </w:divBdr>
      <w:divsChild>
        <w:div w:id="1004938446">
          <w:marLeft w:val="0"/>
          <w:marRight w:val="0"/>
          <w:marTop w:val="0"/>
          <w:marBottom w:val="0"/>
          <w:divBdr>
            <w:top w:val="none" w:sz="0" w:space="0" w:color="auto"/>
            <w:left w:val="none" w:sz="0" w:space="0" w:color="auto"/>
            <w:bottom w:val="none" w:sz="0" w:space="0" w:color="auto"/>
            <w:right w:val="none" w:sz="0" w:space="0" w:color="auto"/>
          </w:divBdr>
        </w:div>
      </w:divsChild>
    </w:div>
    <w:div w:id="433016750">
      <w:bodyDiv w:val="1"/>
      <w:marLeft w:val="0"/>
      <w:marRight w:val="0"/>
      <w:marTop w:val="0"/>
      <w:marBottom w:val="0"/>
      <w:divBdr>
        <w:top w:val="none" w:sz="0" w:space="0" w:color="auto"/>
        <w:left w:val="none" w:sz="0" w:space="0" w:color="auto"/>
        <w:bottom w:val="none" w:sz="0" w:space="0" w:color="auto"/>
        <w:right w:val="none" w:sz="0" w:space="0" w:color="auto"/>
      </w:divBdr>
      <w:divsChild>
        <w:div w:id="1682704502">
          <w:marLeft w:val="0"/>
          <w:marRight w:val="0"/>
          <w:marTop w:val="0"/>
          <w:marBottom w:val="0"/>
          <w:divBdr>
            <w:top w:val="none" w:sz="0" w:space="0" w:color="auto"/>
            <w:left w:val="none" w:sz="0" w:space="0" w:color="auto"/>
            <w:bottom w:val="none" w:sz="0" w:space="0" w:color="auto"/>
            <w:right w:val="none" w:sz="0" w:space="0" w:color="auto"/>
          </w:divBdr>
        </w:div>
      </w:divsChild>
    </w:div>
    <w:div w:id="525212171">
      <w:bodyDiv w:val="1"/>
      <w:marLeft w:val="0"/>
      <w:marRight w:val="0"/>
      <w:marTop w:val="0"/>
      <w:marBottom w:val="0"/>
      <w:divBdr>
        <w:top w:val="none" w:sz="0" w:space="0" w:color="auto"/>
        <w:left w:val="none" w:sz="0" w:space="0" w:color="auto"/>
        <w:bottom w:val="none" w:sz="0" w:space="0" w:color="auto"/>
        <w:right w:val="none" w:sz="0" w:space="0" w:color="auto"/>
      </w:divBdr>
      <w:divsChild>
        <w:div w:id="305861417">
          <w:marLeft w:val="0"/>
          <w:marRight w:val="0"/>
          <w:marTop w:val="0"/>
          <w:marBottom w:val="0"/>
          <w:divBdr>
            <w:top w:val="none" w:sz="0" w:space="0" w:color="auto"/>
            <w:left w:val="none" w:sz="0" w:space="0" w:color="auto"/>
            <w:bottom w:val="none" w:sz="0" w:space="0" w:color="auto"/>
            <w:right w:val="none" w:sz="0" w:space="0" w:color="auto"/>
          </w:divBdr>
        </w:div>
      </w:divsChild>
    </w:div>
    <w:div w:id="595941184">
      <w:bodyDiv w:val="1"/>
      <w:marLeft w:val="0"/>
      <w:marRight w:val="0"/>
      <w:marTop w:val="0"/>
      <w:marBottom w:val="0"/>
      <w:divBdr>
        <w:top w:val="none" w:sz="0" w:space="0" w:color="auto"/>
        <w:left w:val="none" w:sz="0" w:space="0" w:color="auto"/>
        <w:bottom w:val="none" w:sz="0" w:space="0" w:color="auto"/>
        <w:right w:val="none" w:sz="0" w:space="0" w:color="auto"/>
      </w:divBdr>
      <w:divsChild>
        <w:div w:id="1827477446">
          <w:marLeft w:val="0"/>
          <w:marRight w:val="0"/>
          <w:marTop w:val="0"/>
          <w:marBottom w:val="0"/>
          <w:divBdr>
            <w:top w:val="none" w:sz="0" w:space="0" w:color="auto"/>
            <w:left w:val="none" w:sz="0" w:space="0" w:color="auto"/>
            <w:bottom w:val="none" w:sz="0" w:space="0" w:color="auto"/>
            <w:right w:val="none" w:sz="0" w:space="0" w:color="auto"/>
          </w:divBdr>
        </w:div>
      </w:divsChild>
    </w:div>
    <w:div w:id="833883475">
      <w:bodyDiv w:val="1"/>
      <w:marLeft w:val="0"/>
      <w:marRight w:val="0"/>
      <w:marTop w:val="0"/>
      <w:marBottom w:val="0"/>
      <w:divBdr>
        <w:top w:val="none" w:sz="0" w:space="0" w:color="auto"/>
        <w:left w:val="none" w:sz="0" w:space="0" w:color="auto"/>
        <w:bottom w:val="none" w:sz="0" w:space="0" w:color="auto"/>
        <w:right w:val="none" w:sz="0" w:space="0" w:color="auto"/>
      </w:divBdr>
      <w:divsChild>
        <w:div w:id="263849976">
          <w:marLeft w:val="0"/>
          <w:marRight w:val="0"/>
          <w:marTop w:val="0"/>
          <w:marBottom w:val="0"/>
          <w:divBdr>
            <w:top w:val="none" w:sz="0" w:space="0" w:color="auto"/>
            <w:left w:val="none" w:sz="0" w:space="0" w:color="auto"/>
            <w:bottom w:val="none" w:sz="0" w:space="0" w:color="auto"/>
            <w:right w:val="none" w:sz="0" w:space="0" w:color="auto"/>
          </w:divBdr>
        </w:div>
      </w:divsChild>
    </w:div>
    <w:div w:id="1316377446">
      <w:bodyDiv w:val="1"/>
      <w:marLeft w:val="0"/>
      <w:marRight w:val="0"/>
      <w:marTop w:val="0"/>
      <w:marBottom w:val="0"/>
      <w:divBdr>
        <w:top w:val="none" w:sz="0" w:space="0" w:color="auto"/>
        <w:left w:val="none" w:sz="0" w:space="0" w:color="auto"/>
        <w:bottom w:val="none" w:sz="0" w:space="0" w:color="auto"/>
        <w:right w:val="none" w:sz="0" w:space="0" w:color="auto"/>
      </w:divBdr>
      <w:divsChild>
        <w:div w:id="882987946">
          <w:marLeft w:val="0"/>
          <w:marRight w:val="0"/>
          <w:marTop w:val="0"/>
          <w:marBottom w:val="0"/>
          <w:divBdr>
            <w:top w:val="none" w:sz="0" w:space="0" w:color="auto"/>
            <w:left w:val="none" w:sz="0" w:space="0" w:color="auto"/>
            <w:bottom w:val="none" w:sz="0" w:space="0" w:color="auto"/>
            <w:right w:val="none" w:sz="0" w:space="0" w:color="auto"/>
          </w:divBdr>
        </w:div>
      </w:divsChild>
    </w:div>
    <w:div w:id="1434128179">
      <w:bodyDiv w:val="1"/>
      <w:marLeft w:val="0"/>
      <w:marRight w:val="0"/>
      <w:marTop w:val="0"/>
      <w:marBottom w:val="0"/>
      <w:divBdr>
        <w:top w:val="none" w:sz="0" w:space="0" w:color="auto"/>
        <w:left w:val="none" w:sz="0" w:space="0" w:color="auto"/>
        <w:bottom w:val="none" w:sz="0" w:space="0" w:color="auto"/>
        <w:right w:val="none" w:sz="0" w:space="0" w:color="auto"/>
      </w:divBdr>
      <w:divsChild>
        <w:div w:id="1102333512">
          <w:marLeft w:val="0"/>
          <w:marRight w:val="0"/>
          <w:marTop w:val="0"/>
          <w:marBottom w:val="0"/>
          <w:divBdr>
            <w:top w:val="none" w:sz="0" w:space="0" w:color="auto"/>
            <w:left w:val="none" w:sz="0" w:space="0" w:color="auto"/>
            <w:bottom w:val="none" w:sz="0" w:space="0" w:color="auto"/>
            <w:right w:val="none" w:sz="0" w:space="0" w:color="auto"/>
          </w:divBdr>
        </w:div>
      </w:divsChild>
    </w:div>
    <w:div w:id="1813281518">
      <w:bodyDiv w:val="1"/>
      <w:marLeft w:val="0"/>
      <w:marRight w:val="0"/>
      <w:marTop w:val="0"/>
      <w:marBottom w:val="0"/>
      <w:divBdr>
        <w:top w:val="none" w:sz="0" w:space="0" w:color="auto"/>
        <w:left w:val="none" w:sz="0" w:space="0" w:color="auto"/>
        <w:bottom w:val="none" w:sz="0" w:space="0" w:color="auto"/>
        <w:right w:val="none" w:sz="0" w:space="0" w:color="auto"/>
      </w:divBdr>
      <w:divsChild>
        <w:div w:id="1218474929">
          <w:marLeft w:val="0"/>
          <w:marRight w:val="0"/>
          <w:marTop w:val="0"/>
          <w:marBottom w:val="0"/>
          <w:divBdr>
            <w:top w:val="none" w:sz="0" w:space="0" w:color="auto"/>
            <w:left w:val="none" w:sz="0" w:space="0" w:color="auto"/>
            <w:bottom w:val="none" w:sz="0" w:space="0" w:color="auto"/>
            <w:right w:val="none" w:sz="0" w:space="0" w:color="auto"/>
          </w:divBdr>
        </w:div>
      </w:divsChild>
    </w:div>
    <w:div w:id="2081831480">
      <w:bodyDiv w:val="1"/>
      <w:marLeft w:val="0"/>
      <w:marRight w:val="0"/>
      <w:marTop w:val="0"/>
      <w:marBottom w:val="0"/>
      <w:divBdr>
        <w:top w:val="none" w:sz="0" w:space="0" w:color="auto"/>
        <w:left w:val="none" w:sz="0" w:space="0" w:color="auto"/>
        <w:bottom w:val="none" w:sz="0" w:space="0" w:color="auto"/>
        <w:right w:val="none" w:sz="0" w:space="0" w:color="auto"/>
      </w:divBdr>
      <w:divsChild>
        <w:div w:id="648830942">
          <w:marLeft w:val="0"/>
          <w:marRight w:val="0"/>
          <w:marTop w:val="0"/>
          <w:marBottom w:val="0"/>
          <w:divBdr>
            <w:top w:val="none" w:sz="0" w:space="0" w:color="auto"/>
            <w:left w:val="none" w:sz="0" w:space="0" w:color="auto"/>
            <w:bottom w:val="none" w:sz="0" w:space="0" w:color="auto"/>
            <w:right w:val="none" w:sz="0" w:space="0" w:color="auto"/>
          </w:divBdr>
        </w:div>
      </w:divsChild>
    </w:div>
    <w:div w:id="2133864740">
      <w:bodyDiv w:val="1"/>
      <w:marLeft w:val="0"/>
      <w:marRight w:val="0"/>
      <w:marTop w:val="0"/>
      <w:marBottom w:val="0"/>
      <w:divBdr>
        <w:top w:val="none" w:sz="0" w:space="0" w:color="auto"/>
        <w:left w:val="none" w:sz="0" w:space="0" w:color="auto"/>
        <w:bottom w:val="none" w:sz="0" w:space="0" w:color="auto"/>
        <w:right w:val="none" w:sz="0" w:space="0" w:color="auto"/>
      </w:divBdr>
      <w:divsChild>
        <w:div w:id="79818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614A-42ED-4F5E-8545-FA564C9E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2519</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Archives of Ontario Private Acquisitions Strategy</vt:lpstr>
    </vt:vector>
  </TitlesOfParts>
  <Company>Government of Ontario</Company>
  <LinksUpToDate>false</LinksUpToDate>
  <CharactersWithSpaces>18050</CharactersWithSpaces>
  <SharedDoc>false</SharedDoc>
  <HLinks>
    <vt:vector size="6" baseType="variant">
      <vt:variant>
        <vt:i4>5767258</vt:i4>
      </vt:variant>
      <vt:variant>
        <vt:i4>0</vt:i4>
      </vt:variant>
      <vt:variant>
        <vt:i4>0</vt:i4>
      </vt:variant>
      <vt:variant>
        <vt:i4>5</vt:i4>
      </vt:variant>
      <vt:variant>
        <vt:lpwstr>http://www.world-nuclear.org/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creator>birrelad</dc:creator>
  <cp:lastModifiedBy>Birrell, Adam (MGCS)</cp:lastModifiedBy>
  <cp:revision>5</cp:revision>
  <cp:lastPrinted>2012-10-19T12:59:00Z</cp:lastPrinted>
  <dcterms:created xsi:type="dcterms:W3CDTF">2016-11-25T16:34:00Z</dcterms:created>
  <dcterms:modified xsi:type="dcterms:W3CDTF">2016-12-19T14:30:00Z</dcterms:modified>
</cp:coreProperties>
</file>