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22EE" w14:textId="0A77C2A0" w:rsidR="005B2CA1" w:rsidRPr="00CE7754" w:rsidRDefault="005B2CA1">
      <w:bookmarkStart w:id="0" w:name="_Toc221187556"/>
      <w:bookmarkStart w:id="1" w:name="_Toc221246237"/>
      <w:bookmarkStart w:id="2" w:name="_Toc221246326"/>
      <w:bookmarkStart w:id="3" w:name="_Toc221246583"/>
      <w:bookmarkStart w:id="4" w:name="_Toc223436370"/>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663"/>
        <w:gridCol w:w="4253"/>
      </w:tblGrid>
      <w:tr w:rsidR="005B2CA1" w:rsidRPr="00CE7754" w14:paraId="5056FDAF" w14:textId="77777777" w:rsidTr="00CE7754">
        <w:trPr>
          <w:trHeight w:val="845"/>
          <w:tblHeader/>
        </w:trPr>
        <w:tc>
          <w:tcPr>
            <w:tcW w:w="6663" w:type="dxa"/>
            <w:tcBorders>
              <w:top w:val="nil"/>
              <w:left w:val="nil"/>
              <w:bottom w:val="nil"/>
              <w:right w:val="nil"/>
            </w:tcBorders>
            <w:shd w:val="clear" w:color="auto" w:fill="auto"/>
          </w:tcPr>
          <w:p w14:paraId="12FE8757" w14:textId="77777777" w:rsidR="005B2CA1" w:rsidRPr="00CE7754" w:rsidRDefault="005B2CA1" w:rsidP="00CE7754">
            <w:pPr>
              <w:ind w:left="179"/>
              <w:rPr>
                <w:rFonts w:cs="Arial"/>
                <w:b/>
              </w:rPr>
            </w:pPr>
            <w:r w:rsidRPr="00CE7754">
              <w:rPr>
                <w:noProof/>
                <w:sz w:val="40"/>
                <w:lang w:val="fr-FR" w:eastAsia="fr-FR"/>
              </w:rPr>
              <w:drawing>
                <wp:anchor distT="0" distB="0" distL="114300" distR="114300" simplePos="0" relativeHeight="251664384" behindDoc="0" locked="1" layoutInCell="1" allowOverlap="1" wp14:anchorId="3DAC8952" wp14:editId="32EB1AA0">
                  <wp:simplePos x="0" y="0"/>
                  <wp:positionH relativeFrom="margin">
                    <wp:posOffset>4419600</wp:posOffset>
                  </wp:positionH>
                  <wp:positionV relativeFrom="margin">
                    <wp:posOffset>-250190</wp:posOffset>
                  </wp:positionV>
                  <wp:extent cx="1762125" cy="747395"/>
                  <wp:effectExtent l="0" t="0" r="0" b="0"/>
                  <wp:wrapNone/>
                  <wp:docPr id="3" name="Picture 3"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CE7754">
              <w:rPr>
                <w:b/>
                <w:sz w:val="40"/>
              </w:rPr>
              <w:t>Archives publiques de l’Ontario</w:t>
            </w:r>
          </w:p>
        </w:tc>
        <w:tc>
          <w:tcPr>
            <w:tcW w:w="4253" w:type="dxa"/>
            <w:tcBorders>
              <w:top w:val="nil"/>
              <w:left w:val="nil"/>
              <w:bottom w:val="nil"/>
              <w:right w:val="nil"/>
            </w:tcBorders>
            <w:shd w:val="clear" w:color="auto" w:fill="auto"/>
          </w:tcPr>
          <w:p w14:paraId="499ABD25" w14:textId="77777777" w:rsidR="005B2CA1" w:rsidRPr="00CE7754" w:rsidRDefault="005B2CA1" w:rsidP="00CD27DE">
            <w:pPr>
              <w:jc w:val="right"/>
              <w:rPr>
                <w:rFonts w:cs="Arial"/>
                <w:b/>
                <w:bCs/>
                <w:sz w:val="44"/>
                <w:szCs w:val="44"/>
              </w:rPr>
            </w:pPr>
          </w:p>
        </w:tc>
      </w:tr>
      <w:tr w:rsidR="005B2CA1" w:rsidRPr="00CE7754" w14:paraId="68AE89C2" w14:textId="77777777" w:rsidTr="00CE7754">
        <w:trPr>
          <w:trHeight w:val="421"/>
        </w:trPr>
        <w:tc>
          <w:tcPr>
            <w:tcW w:w="10912" w:type="dxa"/>
            <w:gridSpan w:val="2"/>
            <w:tcBorders>
              <w:top w:val="nil"/>
              <w:left w:val="nil"/>
              <w:bottom w:val="nil"/>
              <w:right w:val="nil"/>
            </w:tcBorders>
            <w:shd w:val="clear" w:color="auto" w:fill="auto"/>
          </w:tcPr>
          <w:p w14:paraId="344EFE70" w14:textId="54AA7E1D" w:rsidR="005B2CA1" w:rsidRPr="00CE7754" w:rsidRDefault="005B2CA1" w:rsidP="00CE7754">
            <w:pPr>
              <w:ind w:left="-1098"/>
              <w:jc w:val="center"/>
              <w:rPr>
                <w:bCs/>
                <w:sz w:val="32"/>
                <w:szCs w:val="40"/>
              </w:rPr>
            </w:pPr>
            <w:r w:rsidRPr="00CE7754">
              <w:rPr>
                <w:sz w:val="32"/>
              </w:rPr>
              <w:t>Guide de recherche 215</w:t>
            </w:r>
          </w:p>
          <w:p w14:paraId="5583DCB0" w14:textId="3A0B9BA2" w:rsidR="005B2CA1" w:rsidRPr="00CE7754" w:rsidRDefault="005B2CA1" w:rsidP="00CE7754">
            <w:pPr>
              <w:ind w:left="-389"/>
              <w:jc w:val="center"/>
              <w:rPr>
                <w:bCs/>
                <w:sz w:val="40"/>
                <w:szCs w:val="40"/>
              </w:rPr>
            </w:pPr>
            <w:r w:rsidRPr="00CE7754">
              <w:rPr>
                <w:sz w:val="40"/>
              </w:rPr>
              <w:t>Premiers documents relatifs à la colonisation des terres (v. 1780 – v. 1850)</w:t>
            </w:r>
          </w:p>
          <w:p w14:paraId="3EB62926" w14:textId="77777777" w:rsidR="005B2CA1" w:rsidRPr="00CE7754" w:rsidRDefault="005B2CA1" w:rsidP="00CE7754">
            <w:pPr>
              <w:ind w:left="-389"/>
              <w:jc w:val="center"/>
              <w:rPr>
                <w:bCs/>
                <w:szCs w:val="28"/>
              </w:rPr>
            </w:pPr>
          </w:p>
          <w:p w14:paraId="6D556F25" w14:textId="6A0F424C" w:rsidR="005B2CA1" w:rsidRPr="00CE7754" w:rsidRDefault="005B2CA1" w:rsidP="00CE7754">
            <w:pPr>
              <w:ind w:left="-389"/>
              <w:jc w:val="center"/>
              <w:rPr>
                <w:bCs/>
                <w:sz w:val="22"/>
                <w:szCs w:val="28"/>
              </w:rPr>
            </w:pPr>
            <w:r w:rsidRPr="00CE7754">
              <w:rPr>
                <w:sz w:val="22"/>
              </w:rPr>
              <w:t>Dernière mise à jour : Décembre 2020</w:t>
            </w:r>
          </w:p>
          <w:p w14:paraId="0195BE34" w14:textId="77777777" w:rsidR="005B2CA1" w:rsidRPr="00CE7754" w:rsidRDefault="005B2CA1" w:rsidP="00CD27DE">
            <w:pPr>
              <w:jc w:val="center"/>
              <w:rPr>
                <w:bCs/>
                <w:sz w:val="22"/>
                <w:szCs w:val="28"/>
              </w:rPr>
            </w:pPr>
          </w:p>
        </w:tc>
      </w:tr>
    </w:tbl>
    <w:p w14:paraId="0AE7D283" w14:textId="77777777" w:rsidR="005B2CA1" w:rsidRPr="00CE7754" w:rsidRDefault="00967DD6" w:rsidP="005B2CA1">
      <w:pPr>
        <w:rPr>
          <w:rFonts w:cs="Arial"/>
        </w:rPr>
      </w:pPr>
      <w:r>
        <w:pict w14:anchorId="01A0DB02">
          <v:rect id="_x0000_i1025" style="width:0;height:1.5pt" o:hralign="center" o:hrstd="t" o:hr="t" fillcolor="#a0a0a0" stroked="f"/>
        </w:pict>
      </w:r>
    </w:p>
    <w:p w14:paraId="7A83B444" w14:textId="77777777" w:rsidR="005B2CA1" w:rsidRPr="00CE7754" w:rsidRDefault="005B2CA1" w:rsidP="005B2CA1">
      <w:pPr>
        <w:rPr>
          <w:rFonts w:cs="Arial"/>
          <w:sz w:val="18"/>
        </w:rPr>
      </w:pPr>
    </w:p>
    <w:p w14:paraId="6CECFA77" w14:textId="77777777" w:rsidR="005B2CA1" w:rsidRPr="00CE7754" w:rsidRDefault="005B2CA1" w:rsidP="005B2CA1">
      <w:pPr>
        <w:rPr>
          <w:noProof/>
        </w:rPr>
      </w:pPr>
      <w:bookmarkStart w:id="5" w:name="_Procedure_Books,_1906–1988"/>
      <w:bookmarkEnd w:id="5"/>
    </w:p>
    <w:p w14:paraId="5A51A3FC" w14:textId="51683A49" w:rsidR="005B2CA1" w:rsidRPr="00CE7754" w:rsidRDefault="005B2CA1" w:rsidP="005B2CA1">
      <w:pPr>
        <w:jc w:val="center"/>
        <w:rPr>
          <w:noProof/>
        </w:rPr>
      </w:pPr>
    </w:p>
    <w:p w14:paraId="2690E37B" w14:textId="77777777" w:rsidR="005B2CA1" w:rsidRPr="00CE7754" w:rsidRDefault="005B2CA1" w:rsidP="005B2CA1">
      <w:pPr>
        <w:jc w:val="center"/>
        <w:rPr>
          <w:noProof/>
        </w:rPr>
      </w:pPr>
    </w:p>
    <w:p w14:paraId="090CE506" w14:textId="77777777" w:rsidR="005B2CA1" w:rsidRPr="00CE7754" w:rsidRDefault="005B2CA1" w:rsidP="005B2CA1">
      <w:pPr>
        <w:jc w:val="center"/>
        <w:rPr>
          <w:noProof/>
        </w:rPr>
      </w:pPr>
    </w:p>
    <w:p w14:paraId="1967CB5F" w14:textId="783C7AB5" w:rsidR="005B2CA1" w:rsidRPr="00CE7754" w:rsidRDefault="005B2CA1" w:rsidP="005B2CA1">
      <w:pPr>
        <w:jc w:val="center"/>
        <w:rPr>
          <w:noProof/>
        </w:rPr>
      </w:pPr>
      <w:r w:rsidRPr="00CE7754">
        <w:rPr>
          <w:rFonts w:ascii="Raleway" w:hAnsi="Raleway"/>
          <w:noProof/>
          <w:color w:val="333333"/>
          <w:sz w:val="18"/>
          <w:lang w:val="fr-FR" w:eastAsia="fr-FR"/>
        </w:rPr>
        <w:drawing>
          <wp:inline distT="0" distB="0" distL="0" distR="0" wp14:anchorId="433C5748" wp14:editId="517D887F">
            <wp:extent cx="5562600" cy="3738067"/>
            <wp:effectExtent l="0" t="0" r="0" b="0"/>
            <wp:docPr id="1" name="Picture 1" descr="Image is Mr. Cartwright's mill on the Appanee River; Bay of Quinte, Elizabeth Simcoe fonds, F 47-11-1-0-160, Simcoe Family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78054" cy="3748452"/>
                    </a:xfrm>
                    <a:prstGeom prst="rect">
                      <a:avLst/>
                    </a:prstGeom>
                    <a:noFill/>
                    <a:ln>
                      <a:noFill/>
                    </a:ln>
                  </pic:spPr>
                </pic:pic>
              </a:graphicData>
            </a:graphic>
          </wp:inline>
        </w:drawing>
      </w:r>
    </w:p>
    <w:p w14:paraId="3DF1BF66" w14:textId="77777777" w:rsidR="005B2CA1" w:rsidRPr="00CE7754" w:rsidRDefault="005B2CA1" w:rsidP="005B2CA1">
      <w:pPr>
        <w:jc w:val="center"/>
        <w:rPr>
          <w:noProof/>
        </w:rPr>
      </w:pPr>
    </w:p>
    <w:p w14:paraId="7E487542" w14:textId="77777777" w:rsidR="005B2CA1" w:rsidRPr="00CE7754" w:rsidRDefault="005B2CA1" w:rsidP="005B2CA1">
      <w:pPr>
        <w:jc w:val="center"/>
        <w:rPr>
          <w:noProof/>
        </w:rPr>
      </w:pPr>
    </w:p>
    <w:p w14:paraId="22FD2AE3" w14:textId="1505C692" w:rsidR="005B2CA1" w:rsidRPr="00CE7754" w:rsidRDefault="005B2CA1" w:rsidP="005B2CA1">
      <w:pPr>
        <w:jc w:val="center"/>
        <w:rPr>
          <w:rFonts w:cs="Arial"/>
          <w:color w:val="333333"/>
          <w:sz w:val="18"/>
          <w:szCs w:val="18"/>
          <w:shd w:val="clear" w:color="auto" w:fill="FFFFFF"/>
        </w:rPr>
      </w:pPr>
      <w:r w:rsidRPr="00CE7754">
        <w:rPr>
          <w:color w:val="333333"/>
          <w:sz w:val="18"/>
          <w:shd w:val="clear" w:color="auto" w:fill="FFFFFF"/>
        </w:rPr>
        <w:t>Moulin de M. Cartwright sur la rivière </w:t>
      </w:r>
      <w:proofErr w:type="spellStart"/>
      <w:r w:rsidRPr="00CE7754">
        <w:rPr>
          <w:color w:val="333333"/>
          <w:sz w:val="18"/>
          <w:shd w:val="clear" w:color="auto" w:fill="FFFFFF"/>
        </w:rPr>
        <w:t>Napanee</w:t>
      </w:r>
      <w:proofErr w:type="spellEnd"/>
      <w:r w:rsidRPr="00CE7754">
        <w:rPr>
          <w:color w:val="333333"/>
          <w:sz w:val="18"/>
          <w:shd w:val="clear" w:color="auto" w:fill="FFFFFF"/>
        </w:rPr>
        <w:t>; baie de Quinte</w:t>
      </w:r>
      <w:r w:rsidRPr="00CE7754">
        <w:rPr>
          <w:color w:val="333333"/>
          <w:sz w:val="18"/>
          <w:shd w:val="clear" w:color="auto" w:fill="FFFFFF"/>
        </w:rPr>
        <w:br/>
        <w:t>Fonds Elizabeth </w:t>
      </w:r>
      <w:proofErr w:type="spellStart"/>
      <w:r w:rsidRPr="00CE7754">
        <w:rPr>
          <w:color w:val="333333"/>
          <w:sz w:val="18"/>
          <w:shd w:val="clear" w:color="auto" w:fill="FFFFFF"/>
        </w:rPr>
        <w:t>Simcoe</w:t>
      </w:r>
      <w:proofErr w:type="spellEnd"/>
      <w:r w:rsidRPr="00CE7754">
        <w:rPr>
          <w:color w:val="333333"/>
          <w:sz w:val="18"/>
          <w:shd w:val="clear" w:color="auto" w:fill="FFFFFF"/>
        </w:rPr>
        <w:br/>
        <w:t>F 47-11-1– 0-160</w:t>
      </w:r>
      <w:r w:rsidRPr="00CE7754">
        <w:rPr>
          <w:color w:val="333333"/>
          <w:sz w:val="18"/>
          <w:shd w:val="clear" w:color="auto" w:fill="FFFFFF"/>
        </w:rPr>
        <w:br/>
        <w:t>Fonds de la famille </w:t>
      </w:r>
      <w:proofErr w:type="spellStart"/>
      <w:r w:rsidRPr="00CE7754">
        <w:rPr>
          <w:color w:val="333333"/>
          <w:sz w:val="18"/>
          <w:shd w:val="clear" w:color="auto" w:fill="FFFFFF"/>
        </w:rPr>
        <w:t>Simcoe</w:t>
      </w:r>
      <w:proofErr w:type="spellEnd"/>
    </w:p>
    <w:p w14:paraId="199F8238" w14:textId="17535425" w:rsidR="005B2CA1" w:rsidRPr="00CE7754" w:rsidRDefault="005B2CA1" w:rsidP="005B2CA1">
      <w:pPr>
        <w:jc w:val="center"/>
        <w:rPr>
          <w:rFonts w:cs="Arial"/>
          <w:color w:val="333333"/>
          <w:sz w:val="18"/>
          <w:szCs w:val="18"/>
          <w:shd w:val="clear" w:color="auto" w:fill="FFFFFF"/>
        </w:rPr>
      </w:pPr>
    </w:p>
    <w:p w14:paraId="72CFD2F3" w14:textId="29DCA75E" w:rsidR="005B2CA1" w:rsidRPr="00CE7754" w:rsidRDefault="005B2CA1" w:rsidP="005B2CA1">
      <w:pPr>
        <w:jc w:val="center"/>
        <w:rPr>
          <w:rFonts w:cs="Arial"/>
          <w:color w:val="333333"/>
          <w:sz w:val="18"/>
          <w:szCs w:val="18"/>
          <w:shd w:val="clear" w:color="auto" w:fill="FFFFFF"/>
        </w:rPr>
      </w:pPr>
    </w:p>
    <w:p w14:paraId="06329A92" w14:textId="01A655BD" w:rsidR="005B2CA1" w:rsidRPr="00CE7754" w:rsidRDefault="00967DD6" w:rsidP="005B2CA1">
      <w:pPr>
        <w:jc w:val="center"/>
      </w:pPr>
      <w:r>
        <w:pict w14:anchorId="6A595F35">
          <v:rect id="_x0000_i1026" style="width:0;height:1.5pt" o:hralign="center" o:hrstd="t" o:hr="t" fillcolor="#a0a0a0" stroked="f"/>
        </w:pict>
      </w:r>
    </w:p>
    <w:bookmarkStart w:id="6" w:name="_Toc43282616"/>
    <w:p w14:paraId="40B622B9" w14:textId="2E2D2863" w:rsidR="0001688C" w:rsidRDefault="001A4C86">
      <w:pPr>
        <w:pStyle w:val="TOC1"/>
        <w:tabs>
          <w:tab w:val="right" w:leader="dot" w:pos="9350"/>
        </w:tabs>
        <w:rPr>
          <w:rFonts w:asciiTheme="minorHAnsi" w:eastAsiaTheme="minorEastAsia" w:hAnsiTheme="minorHAnsi" w:cstheme="minorBidi"/>
          <w:b w:val="0"/>
          <w:noProof/>
          <w:sz w:val="22"/>
          <w:szCs w:val="22"/>
          <w:lang w:val="en-US"/>
        </w:rPr>
      </w:pPr>
      <w:r w:rsidRPr="00CE7754">
        <w:rPr>
          <w:rStyle w:val="normaltextrun"/>
        </w:rPr>
        <w:lastRenderedPageBreak/>
        <w:fldChar w:fldCharType="begin"/>
      </w:r>
      <w:r w:rsidRPr="00CE7754">
        <w:rPr>
          <w:rStyle w:val="normaltextrun"/>
        </w:rPr>
        <w:instrText xml:space="preserve"> TOC \o "1-3" \h \z \u </w:instrText>
      </w:r>
      <w:r w:rsidRPr="00CE7754">
        <w:rPr>
          <w:rStyle w:val="normaltextrun"/>
        </w:rPr>
        <w:fldChar w:fldCharType="separate"/>
      </w:r>
      <w:hyperlink w:anchor="_Toc105054204" w:history="1">
        <w:r w:rsidR="0001688C" w:rsidRPr="000C2154">
          <w:rPr>
            <w:rStyle w:val="Hyperlink"/>
            <w:noProof/>
          </w:rPr>
          <w:t>Dans le présent guide</w:t>
        </w:r>
        <w:r w:rsidR="0001688C">
          <w:rPr>
            <w:noProof/>
            <w:webHidden/>
          </w:rPr>
          <w:tab/>
        </w:r>
        <w:r w:rsidR="0001688C">
          <w:rPr>
            <w:noProof/>
            <w:webHidden/>
          </w:rPr>
          <w:fldChar w:fldCharType="begin"/>
        </w:r>
        <w:r w:rsidR="0001688C">
          <w:rPr>
            <w:noProof/>
            <w:webHidden/>
          </w:rPr>
          <w:instrText xml:space="preserve"> PAGEREF _Toc105054204 \h </w:instrText>
        </w:r>
        <w:r w:rsidR="0001688C">
          <w:rPr>
            <w:noProof/>
            <w:webHidden/>
          </w:rPr>
        </w:r>
        <w:r w:rsidR="0001688C">
          <w:rPr>
            <w:noProof/>
            <w:webHidden/>
          </w:rPr>
          <w:fldChar w:fldCharType="separate"/>
        </w:r>
        <w:r w:rsidR="0001688C">
          <w:rPr>
            <w:noProof/>
            <w:webHidden/>
          </w:rPr>
          <w:t>2</w:t>
        </w:r>
        <w:r w:rsidR="0001688C">
          <w:rPr>
            <w:noProof/>
            <w:webHidden/>
          </w:rPr>
          <w:fldChar w:fldCharType="end"/>
        </w:r>
      </w:hyperlink>
    </w:p>
    <w:p w14:paraId="265EEFE5" w14:textId="596DDDB7" w:rsidR="0001688C" w:rsidRDefault="00967DD6">
      <w:pPr>
        <w:pStyle w:val="TOC1"/>
        <w:tabs>
          <w:tab w:val="right" w:leader="dot" w:pos="9350"/>
        </w:tabs>
        <w:rPr>
          <w:rFonts w:asciiTheme="minorHAnsi" w:eastAsiaTheme="minorEastAsia" w:hAnsiTheme="minorHAnsi" w:cstheme="minorBidi"/>
          <w:b w:val="0"/>
          <w:noProof/>
          <w:sz w:val="22"/>
          <w:szCs w:val="22"/>
          <w:lang w:val="en-US"/>
        </w:rPr>
      </w:pPr>
      <w:hyperlink w:anchor="_Toc105054205" w:history="1">
        <w:r w:rsidR="0001688C" w:rsidRPr="000C2154">
          <w:rPr>
            <w:rStyle w:val="Hyperlink"/>
            <w:noProof/>
          </w:rPr>
          <w:t>Où puis-je trouver ces documents?</w:t>
        </w:r>
        <w:r w:rsidR="0001688C">
          <w:rPr>
            <w:noProof/>
            <w:webHidden/>
          </w:rPr>
          <w:tab/>
        </w:r>
        <w:r w:rsidR="0001688C">
          <w:rPr>
            <w:noProof/>
            <w:webHidden/>
          </w:rPr>
          <w:fldChar w:fldCharType="begin"/>
        </w:r>
        <w:r w:rsidR="0001688C">
          <w:rPr>
            <w:noProof/>
            <w:webHidden/>
          </w:rPr>
          <w:instrText xml:space="preserve"> PAGEREF _Toc105054205 \h </w:instrText>
        </w:r>
        <w:r w:rsidR="0001688C">
          <w:rPr>
            <w:noProof/>
            <w:webHidden/>
          </w:rPr>
        </w:r>
        <w:r w:rsidR="0001688C">
          <w:rPr>
            <w:noProof/>
            <w:webHidden/>
          </w:rPr>
          <w:fldChar w:fldCharType="separate"/>
        </w:r>
        <w:r w:rsidR="0001688C">
          <w:rPr>
            <w:noProof/>
            <w:webHidden/>
          </w:rPr>
          <w:t>3</w:t>
        </w:r>
        <w:r w:rsidR="0001688C">
          <w:rPr>
            <w:noProof/>
            <w:webHidden/>
          </w:rPr>
          <w:fldChar w:fldCharType="end"/>
        </w:r>
      </w:hyperlink>
    </w:p>
    <w:p w14:paraId="2325F21E" w14:textId="5567130D" w:rsidR="0001688C" w:rsidRDefault="00967DD6">
      <w:pPr>
        <w:pStyle w:val="TOC1"/>
        <w:tabs>
          <w:tab w:val="right" w:leader="dot" w:pos="9350"/>
        </w:tabs>
        <w:rPr>
          <w:rFonts w:asciiTheme="minorHAnsi" w:eastAsiaTheme="minorEastAsia" w:hAnsiTheme="minorHAnsi" w:cstheme="minorBidi"/>
          <w:b w:val="0"/>
          <w:noProof/>
          <w:sz w:val="22"/>
          <w:szCs w:val="22"/>
          <w:lang w:val="en-US"/>
        </w:rPr>
      </w:pPr>
      <w:hyperlink w:anchor="_Toc105054206" w:history="1">
        <w:r w:rsidR="0001688C" w:rsidRPr="000C2154">
          <w:rPr>
            <w:rStyle w:val="Hyperlink"/>
            <w:noProof/>
          </w:rPr>
          <w:t>Que dois-je faire pour commencer?</w:t>
        </w:r>
        <w:r w:rsidR="0001688C">
          <w:rPr>
            <w:noProof/>
            <w:webHidden/>
          </w:rPr>
          <w:tab/>
        </w:r>
        <w:r w:rsidR="0001688C">
          <w:rPr>
            <w:noProof/>
            <w:webHidden/>
          </w:rPr>
          <w:fldChar w:fldCharType="begin"/>
        </w:r>
        <w:r w:rsidR="0001688C">
          <w:rPr>
            <w:noProof/>
            <w:webHidden/>
          </w:rPr>
          <w:instrText xml:space="preserve"> PAGEREF _Toc105054206 \h </w:instrText>
        </w:r>
        <w:r w:rsidR="0001688C">
          <w:rPr>
            <w:noProof/>
            <w:webHidden/>
          </w:rPr>
        </w:r>
        <w:r w:rsidR="0001688C">
          <w:rPr>
            <w:noProof/>
            <w:webHidden/>
          </w:rPr>
          <w:fldChar w:fldCharType="separate"/>
        </w:r>
        <w:r w:rsidR="0001688C">
          <w:rPr>
            <w:noProof/>
            <w:webHidden/>
          </w:rPr>
          <w:t>4</w:t>
        </w:r>
        <w:r w:rsidR="0001688C">
          <w:rPr>
            <w:noProof/>
            <w:webHidden/>
          </w:rPr>
          <w:fldChar w:fldCharType="end"/>
        </w:r>
      </w:hyperlink>
    </w:p>
    <w:p w14:paraId="01C63F25" w14:textId="3060802E" w:rsidR="0001688C" w:rsidRDefault="00967DD6">
      <w:pPr>
        <w:pStyle w:val="TOC1"/>
        <w:tabs>
          <w:tab w:val="right" w:leader="dot" w:pos="9350"/>
        </w:tabs>
        <w:rPr>
          <w:rFonts w:asciiTheme="minorHAnsi" w:eastAsiaTheme="minorEastAsia" w:hAnsiTheme="minorHAnsi" w:cstheme="minorBidi"/>
          <w:b w:val="0"/>
          <w:noProof/>
          <w:sz w:val="22"/>
          <w:szCs w:val="22"/>
          <w:lang w:val="en-US"/>
        </w:rPr>
      </w:pPr>
      <w:hyperlink w:anchor="_Toc105054207" w:history="1">
        <w:r w:rsidR="0001688C" w:rsidRPr="000C2154">
          <w:rPr>
            <w:rStyle w:val="Hyperlink"/>
            <w:noProof/>
          </w:rPr>
          <w:t>LES DOCUMENTS</w:t>
        </w:r>
        <w:r w:rsidR="0001688C">
          <w:rPr>
            <w:noProof/>
            <w:webHidden/>
          </w:rPr>
          <w:tab/>
        </w:r>
        <w:r w:rsidR="0001688C">
          <w:rPr>
            <w:noProof/>
            <w:webHidden/>
          </w:rPr>
          <w:fldChar w:fldCharType="begin"/>
        </w:r>
        <w:r w:rsidR="0001688C">
          <w:rPr>
            <w:noProof/>
            <w:webHidden/>
          </w:rPr>
          <w:instrText xml:space="preserve"> PAGEREF _Toc105054207 \h </w:instrText>
        </w:r>
        <w:r w:rsidR="0001688C">
          <w:rPr>
            <w:noProof/>
            <w:webHidden/>
          </w:rPr>
        </w:r>
        <w:r w:rsidR="0001688C">
          <w:rPr>
            <w:noProof/>
            <w:webHidden/>
          </w:rPr>
          <w:fldChar w:fldCharType="separate"/>
        </w:r>
        <w:r w:rsidR="0001688C">
          <w:rPr>
            <w:noProof/>
            <w:webHidden/>
          </w:rPr>
          <w:t>4</w:t>
        </w:r>
        <w:r w:rsidR="0001688C">
          <w:rPr>
            <w:noProof/>
            <w:webHidden/>
          </w:rPr>
          <w:fldChar w:fldCharType="end"/>
        </w:r>
      </w:hyperlink>
    </w:p>
    <w:p w14:paraId="2D71248B" w14:textId="489FF907" w:rsidR="0001688C" w:rsidRDefault="00967DD6">
      <w:pPr>
        <w:pStyle w:val="TOC2"/>
        <w:rPr>
          <w:rFonts w:asciiTheme="minorHAnsi" w:eastAsiaTheme="minorEastAsia" w:hAnsiTheme="minorHAnsi" w:cstheme="minorBidi"/>
          <w:noProof/>
          <w:sz w:val="22"/>
          <w:szCs w:val="22"/>
          <w:lang w:val="en-US"/>
        </w:rPr>
      </w:pPr>
      <w:hyperlink w:anchor="_Toc105054208" w:history="1">
        <w:r w:rsidR="0001688C" w:rsidRPr="000C2154">
          <w:rPr>
            <w:rStyle w:val="Hyperlink"/>
            <w:noProof/>
          </w:rPr>
          <w:t>1.</w:t>
        </w:r>
        <w:r w:rsidR="0001688C">
          <w:rPr>
            <w:rFonts w:asciiTheme="minorHAnsi" w:eastAsiaTheme="minorEastAsia" w:hAnsiTheme="minorHAnsi" w:cstheme="minorBidi"/>
            <w:noProof/>
            <w:sz w:val="22"/>
            <w:szCs w:val="22"/>
            <w:lang w:val="en-US"/>
          </w:rPr>
          <w:tab/>
        </w:r>
        <w:r w:rsidR="0001688C" w:rsidRPr="000C2154">
          <w:rPr>
            <w:rStyle w:val="Hyperlink"/>
            <w:noProof/>
          </w:rPr>
          <w:t>La documentation du processus : l’index des documents relatifs aux terres de l’Ontario et autres registres connexes</w:t>
        </w:r>
        <w:r w:rsidR="0001688C">
          <w:rPr>
            <w:noProof/>
            <w:webHidden/>
          </w:rPr>
          <w:tab/>
        </w:r>
        <w:r w:rsidR="0001688C">
          <w:rPr>
            <w:noProof/>
            <w:webHidden/>
          </w:rPr>
          <w:fldChar w:fldCharType="begin"/>
        </w:r>
        <w:r w:rsidR="0001688C">
          <w:rPr>
            <w:noProof/>
            <w:webHidden/>
          </w:rPr>
          <w:instrText xml:space="preserve"> PAGEREF _Toc105054208 \h </w:instrText>
        </w:r>
        <w:r w:rsidR="0001688C">
          <w:rPr>
            <w:noProof/>
            <w:webHidden/>
          </w:rPr>
        </w:r>
        <w:r w:rsidR="0001688C">
          <w:rPr>
            <w:noProof/>
            <w:webHidden/>
          </w:rPr>
          <w:fldChar w:fldCharType="separate"/>
        </w:r>
        <w:r w:rsidR="0001688C">
          <w:rPr>
            <w:noProof/>
            <w:webHidden/>
          </w:rPr>
          <w:t>4</w:t>
        </w:r>
        <w:r w:rsidR="0001688C">
          <w:rPr>
            <w:noProof/>
            <w:webHidden/>
          </w:rPr>
          <w:fldChar w:fldCharType="end"/>
        </w:r>
      </w:hyperlink>
    </w:p>
    <w:p w14:paraId="6893A184" w14:textId="4B501AF5" w:rsidR="0001688C" w:rsidRDefault="00967DD6">
      <w:pPr>
        <w:pStyle w:val="TOC2"/>
        <w:rPr>
          <w:rFonts w:asciiTheme="minorHAnsi" w:eastAsiaTheme="minorEastAsia" w:hAnsiTheme="minorHAnsi" w:cstheme="minorBidi"/>
          <w:noProof/>
          <w:sz w:val="22"/>
          <w:szCs w:val="22"/>
          <w:lang w:val="en-US"/>
        </w:rPr>
      </w:pPr>
      <w:hyperlink w:anchor="_Toc105054209" w:history="1">
        <w:r w:rsidR="0001688C" w:rsidRPr="000C2154">
          <w:rPr>
            <w:rStyle w:val="Hyperlink"/>
            <w:noProof/>
          </w:rPr>
          <w:t>2.</w:t>
        </w:r>
        <w:r w:rsidR="0001688C">
          <w:rPr>
            <w:rFonts w:asciiTheme="minorHAnsi" w:eastAsiaTheme="minorEastAsia" w:hAnsiTheme="minorHAnsi" w:cstheme="minorBidi"/>
            <w:noProof/>
            <w:sz w:val="22"/>
            <w:szCs w:val="22"/>
            <w:lang w:val="en-US"/>
          </w:rPr>
          <w:tab/>
        </w:r>
        <w:r w:rsidR="0001688C" w:rsidRPr="000C2154">
          <w:rPr>
            <w:rStyle w:val="Hyperlink"/>
            <w:noProof/>
          </w:rPr>
          <w:t>Arpentage des terres</w:t>
        </w:r>
        <w:r w:rsidR="0001688C">
          <w:rPr>
            <w:noProof/>
            <w:webHidden/>
          </w:rPr>
          <w:tab/>
        </w:r>
        <w:r w:rsidR="0001688C">
          <w:rPr>
            <w:noProof/>
            <w:webHidden/>
          </w:rPr>
          <w:fldChar w:fldCharType="begin"/>
        </w:r>
        <w:r w:rsidR="0001688C">
          <w:rPr>
            <w:noProof/>
            <w:webHidden/>
          </w:rPr>
          <w:instrText xml:space="preserve"> PAGEREF _Toc105054209 \h </w:instrText>
        </w:r>
        <w:r w:rsidR="0001688C">
          <w:rPr>
            <w:noProof/>
            <w:webHidden/>
          </w:rPr>
        </w:r>
        <w:r w:rsidR="0001688C">
          <w:rPr>
            <w:noProof/>
            <w:webHidden/>
          </w:rPr>
          <w:fldChar w:fldCharType="separate"/>
        </w:r>
        <w:r w:rsidR="0001688C">
          <w:rPr>
            <w:noProof/>
            <w:webHidden/>
          </w:rPr>
          <w:t>5</w:t>
        </w:r>
        <w:r w:rsidR="0001688C">
          <w:rPr>
            <w:noProof/>
            <w:webHidden/>
          </w:rPr>
          <w:fldChar w:fldCharType="end"/>
        </w:r>
      </w:hyperlink>
    </w:p>
    <w:p w14:paraId="02A83E91" w14:textId="091BD921" w:rsidR="0001688C" w:rsidRDefault="00967DD6">
      <w:pPr>
        <w:pStyle w:val="TOC2"/>
        <w:rPr>
          <w:rFonts w:asciiTheme="minorHAnsi" w:eastAsiaTheme="minorEastAsia" w:hAnsiTheme="minorHAnsi" w:cstheme="minorBidi"/>
          <w:noProof/>
          <w:sz w:val="22"/>
          <w:szCs w:val="22"/>
          <w:lang w:val="en-US"/>
        </w:rPr>
      </w:pPr>
      <w:hyperlink w:anchor="_Toc105054210" w:history="1">
        <w:r w:rsidR="0001688C" w:rsidRPr="000C2154">
          <w:rPr>
            <w:rStyle w:val="Hyperlink"/>
            <w:noProof/>
          </w:rPr>
          <w:t>3.</w:t>
        </w:r>
        <w:r w:rsidR="0001688C">
          <w:rPr>
            <w:rFonts w:asciiTheme="minorHAnsi" w:eastAsiaTheme="minorEastAsia" w:hAnsiTheme="minorHAnsi" w:cstheme="minorBidi"/>
            <w:noProof/>
            <w:sz w:val="22"/>
            <w:szCs w:val="22"/>
            <w:lang w:val="en-US"/>
          </w:rPr>
          <w:tab/>
        </w:r>
        <w:r w:rsidR="0001688C" w:rsidRPr="000C2154">
          <w:rPr>
            <w:rStyle w:val="Hyperlink"/>
            <w:noProof/>
          </w:rPr>
          <w:t>Documents relatifs aux terres de la Couronne</w:t>
        </w:r>
        <w:r w:rsidR="0001688C">
          <w:rPr>
            <w:noProof/>
            <w:webHidden/>
          </w:rPr>
          <w:tab/>
        </w:r>
        <w:r w:rsidR="0001688C">
          <w:rPr>
            <w:noProof/>
            <w:webHidden/>
          </w:rPr>
          <w:fldChar w:fldCharType="begin"/>
        </w:r>
        <w:r w:rsidR="0001688C">
          <w:rPr>
            <w:noProof/>
            <w:webHidden/>
          </w:rPr>
          <w:instrText xml:space="preserve"> PAGEREF _Toc105054210 \h </w:instrText>
        </w:r>
        <w:r w:rsidR="0001688C">
          <w:rPr>
            <w:noProof/>
            <w:webHidden/>
          </w:rPr>
        </w:r>
        <w:r w:rsidR="0001688C">
          <w:rPr>
            <w:noProof/>
            <w:webHidden/>
          </w:rPr>
          <w:fldChar w:fldCharType="separate"/>
        </w:r>
        <w:r w:rsidR="0001688C">
          <w:rPr>
            <w:noProof/>
            <w:webHidden/>
          </w:rPr>
          <w:t>5</w:t>
        </w:r>
        <w:r w:rsidR="0001688C">
          <w:rPr>
            <w:noProof/>
            <w:webHidden/>
          </w:rPr>
          <w:fldChar w:fldCharType="end"/>
        </w:r>
      </w:hyperlink>
    </w:p>
    <w:p w14:paraId="0B74EC96" w14:textId="62D757B7" w:rsidR="0001688C" w:rsidRDefault="00967DD6">
      <w:pPr>
        <w:pStyle w:val="TOC2"/>
        <w:rPr>
          <w:rFonts w:asciiTheme="minorHAnsi" w:eastAsiaTheme="minorEastAsia" w:hAnsiTheme="minorHAnsi" w:cstheme="minorBidi"/>
          <w:noProof/>
          <w:sz w:val="22"/>
          <w:szCs w:val="22"/>
          <w:lang w:val="en-US"/>
        </w:rPr>
      </w:pPr>
      <w:hyperlink w:anchor="_Toc105054211" w:history="1">
        <w:r w:rsidR="0001688C" w:rsidRPr="000C2154">
          <w:rPr>
            <w:rStyle w:val="Hyperlink"/>
            <w:noProof/>
          </w:rPr>
          <w:t>4.</w:t>
        </w:r>
        <w:r w:rsidR="0001688C">
          <w:rPr>
            <w:rFonts w:asciiTheme="minorHAnsi" w:eastAsiaTheme="minorEastAsia" w:hAnsiTheme="minorHAnsi" w:cstheme="minorBidi"/>
            <w:noProof/>
            <w:sz w:val="22"/>
            <w:szCs w:val="22"/>
            <w:lang w:val="en-US"/>
          </w:rPr>
          <w:tab/>
        </w:r>
        <w:r w:rsidR="0001688C" w:rsidRPr="000C2154">
          <w:rPr>
            <w:rStyle w:val="Hyperlink"/>
            <w:noProof/>
          </w:rPr>
          <w:t>Promoteurs de la colonisation : Thomas Talbot et Peter Robinson</w:t>
        </w:r>
        <w:r w:rsidR="0001688C">
          <w:rPr>
            <w:noProof/>
            <w:webHidden/>
          </w:rPr>
          <w:tab/>
        </w:r>
        <w:r w:rsidR="0001688C">
          <w:rPr>
            <w:noProof/>
            <w:webHidden/>
          </w:rPr>
          <w:fldChar w:fldCharType="begin"/>
        </w:r>
        <w:r w:rsidR="0001688C">
          <w:rPr>
            <w:noProof/>
            <w:webHidden/>
          </w:rPr>
          <w:instrText xml:space="preserve"> PAGEREF _Toc105054211 \h </w:instrText>
        </w:r>
        <w:r w:rsidR="0001688C">
          <w:rPr>
            <w:noProof/>
            <w:webHidden/>
          </w:rPr>
        </w:r>
        <w:r w:rsidR="0001688C">
          <w:rPr>
            <w:noProof/>
            <w:webHidden/>
          </w:rPr>
          <w:fldChar w:fldCharType="separate"/>
        </w:r>
        <w:r w:rsidR="0001688C">
          <w:rPr>
            <w:noProof/>
            <w:webHidden/>
          </w:rPr>
          <w:t>7</w:t>
        </w:r>
        <w:r w:rsidR="0001688C">
          <w:rPr>
            <w:noProof/>
            <w:webHidden/>
          </w:rPr>
          <w:fldChar w:fldCharType="end"/>
        </w:r>
      </w:hyperlink>
    </w:p>
    <w:p w14:paraId="1FA4FAE8" w14:textId="077B83B1"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12" w:history="1">
        <w:r w:rsidR="0001688C" w:rsidRPr="000C2154">
          <w:rPr>
            <w:rStyle w:val="Hyperlink"/>
            <w:noProof/>
          </w:rPr>
          <w:t>4.1</w:t>
        </w:r>
        <w:r w:rsidR="0001688C">
          <w:rPr>
            <w:rFonts w:asciiTheme="minorHAnsi" w:eastAsiaTheme="minorEastAsia" w:hAnsiTheme="minorHAnsi" w:cstheme="minorBidi"/>
            <w:noProof/>
            <w:sz w:val="22"/>
            <w:szCs w:val="22"/>
            <w:lang w:val="en-US"/>
          </w:rPr>
          <w:tab/>
        </w:r>
        <w:r w:rsidR="0001688C" w:rsidRPr="000C2154">
          <w:rPr>
            <w:rStyle w:val="Hyperlink"/>
            <w:noProof/>
          </w:rPr>
          <w:t>Thomas Talbot et la « Talbot Tract »</w:t>
        </w:r>
        <w:r w:rsidR="0001688C">
          <w:rPr>
            <w:noProof/>
            <w:webHidden/>
          </w:rPr>
          <w:tab/>
        </w:r>
        <w:r w:rsidR="0001688C">
          <w:rPr>
            <w:noProof/>
            <w:webHidden/>
          </w:rPr>
          <w:fldChar w:fldCharType="begin"/>
        </w:r>
        <w:r w:rsidR="0001688C">
          <w:rPr>
            <w:noProof/>
            <w:webHidden/>
          </w:rPr>
          <w:instrText xml:space="preserve"> PAGEREF _Toc105054212 \h </w:instrText>
        </w:r>
        <w:r w:rsidR="0001688C">
          <w:rPr>
            <w:noProof/>
            <w:webHidden/>
          </w:rPr>
        </w:r>
        <w:r w:rsidR="0001688C">
          <w:rPr>
            <w:noProof/>
            <w:webHidden/>
          </w:rPr>
          <w:fldChar w:fldCharType="separate"/>
        </w:r>
        <w:r w:rsidR="0001688C">
          <w:rPr>
            <w:noProof/>
            <w:webHidden/>
          </w:rPr>
          <w:t>7</w:t>
        </w:r>
        <w:r w:rsidR="0001688C">
          <w:rPr>
            <w:noProof/>
            <w:webHidden/>
          </w:rPr>
          <w:fldChar w:fldCharType="end"/>
        </w:r>
      </w:hyperlink>
    </w:p>
    <w:p w14:paraId="173A5A89" w14:textId="1219E31C"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13" w:history="1">
        <w:r w:rsidR="0001688C" w:rsidRPr="000C2154">
          <w:rPr>
            <w:rStyle w:val="Hyperlink"/>
            <w:noProof/>
          </w:rPr>
          <w:t>4.2</w:t>
        </w:r>
        <w:r w:rsidR="0001688C">
          <w:rPr>
            <w:rFonts w:asciiTheme="minorHAnsi" w:eastAsiaTheme="minorEastAsia" w:hAnsiTheme="minorHAnsi" w:cstheme="minorBidi"/>
            <w:noProof/>
            <w:sz w:val="22"/>
            <w:szCs w:val="22"/>
            <w:lang w:val="en-US"/>
          </w:rPr>
          <w:tab/>
        </w:r>
        <w:r w:rsidR="0001688C" w:rsidRPr="000C2154">
          <w:rPr>
            <w:rStyle w:val="Hyperlink"/>
            <w:noProof/>
          </w:rPr>
          <w:t>Peter Robinson et les régions de Peterborough et d’Ottawa</w:t>
        </w:r>
        <w:r w:rsidR="0001688C">
          <w:rPr>
            <w:noProof/>
            <w:webHidden/>
          </w:rPr>
          <w:tab/>
        </w:r>
        <w:r w:rsidR="0001688C">
          <w:rPr>
            <w:noProof/>
            <w:webHidden/>
          </w:rPr>
          <w:fldChar w:fldCharType="begin"/>
        </w:r>
        <w:r w:rsidR="0001688C">
          <w:rPr>
            <w:noProof/>
            <w:webHidden/>
          </w:rPr>
          <w:instrText xml:space="preserve"> PAGEREF _Toc105054213 \h </w:instrText>
        </w:r>
        <w:r w:rsidR="0001688C">
          <w:rPr>
            <w:noProof/>
            <w:webHidden/>
          </w:rPr>
        </w:r>
        <w:r w:rsidR="0001688C">
          <w:rPr>
            <w:noProof/>
            <w:webHidden/>
          </w:rPr>
          <w:fldChar w:fldCharType="separate"/>
        </w:r>
        <w:r w:rsidR="0001688C">
          <w:rPr>
            <w:noProof/>
            <w:webHidden/>
          </w:rPr>
          <w:t>7</w:t>
        </w:r>
        <w:r w:rsidR="0001688C">
          <w:rPr>
            <w:noProof/>
            <w:webHidden/>
          </w:rPr>
          <w:fldChar w:fldCharType="end"/>
        </w:r>
      </w:hyperlink>
    </w:p>
    <w:p w14:paraId="34AFF035" w14:textId="187F0185" w:rsidR="0001688C" w:rsidRDefault="00967DD6">
      <w:pPr>
        <w:pStyle w:val="TOC2"/>
        <w:rPr>
          <w:rFonts w:asciiTheme="minorHAnsi" w:eastAsiaTheme="minorEastAsia" w:hAnsiTheme="minorHAnsi" w:cstheme="minorBidi"/>
          <w:noProof/>
          <w:sz w:val="22"/>
          <w:szCs w:val="22"/>
          <w:lang w:val="en-US"/>
        </w:rPr>
      </w:pPr>
      <w:hyperlink w:anchor="_Toc105054214" w:history="1">
        <w:r w:rsidR="0001688C" w:rsidRPr="000C2154">
          <w:rPr>
            <w:rStyle w:val="Hyperlink"/>
            <w:noProof/>
          </w:rPr>
          <w:t>5.</w:t>
        </w:r>
        <w:r w:rsidR="0001688C">
          <w:rPr>
            <w:rFonts w:asciiTheme="minorHAnsi" w:eastAsiaTheme="minorEastAsia" w:hAnsiTheme="minorHAnsi" w:cstheme="minorBidi"/>
            <w:noProof/>
            <w:sz w:val="22"/>
            <w:szCs w:val="22"/>
            <w:lang w:val="en-US"/>
          </w:rPr>
          <w:tab/>
        </w:r>
        <w:r w:rsidR="0001688C" w:rsidRPr="000C2154">
          <w:rPr>
            <w:rStyle w:val="Hyperlink"/>
            <w:noProof/>
          </w:rPr>
          <w:t>Promoteurs privés de la colonisation – la Canada Company</w:t>
        </w:r>
        <w:r w:rsidR="0001688C">
          <w:rPr>
            <w:noProof/>
            <w:webHidden/>
          </w:rPr>
          <w:tab/>
        </w:r>
        <w:r w:rsidR="0001688C">
          <w:rPr>
            <w:noProof/>
            <w:webHidden/>
          </w:rPr>
          <w:fldChar w:fldCharType="begin"/>
        </w:r>
        <w:r w:rsidR="0001688C">
          <w:rPr>
            <w:noProof/>
            <w:webHidden/>
          </w:rPr>
          <w:instrText xml:space="preserve"> PAGEREF _Toc105054214 \h </w:instrText>
        </w:r>
        <w:r w:rsidR="0001688C">
          <w:rPr>
            <w:noProof/>
            <w:webHidden/>
          </w:rPr>
        </w:r>
        <w:r w:rsidR="0001688C">
          <w:rPr>
            <w:noProof/>
            <w:webHidden/>
          </w:rPr>
          <w:fldChar w:fldCharType="separate"/>
        </w:r>
        <w:r w:rsidR="0001688C">
          <w:rPr>
            <w:noProof/>
            <w:webHidden/>
          </w:rPr>
          <w:t>9</w:t>
        </w:r>
        <w:r w:rsidR="0001688C">
          <w:rPr>
            <w:noProof/>
            <w:webHidden/>
          </w:rPr>
          <w:fldChar w:fldCharType="end"/>
        </w:r>
      </w:hyperlink>
    </w:p>
    <w:p w14:paraId="5C9EE673" w14:textId="6C8D5628"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15" w:history="1">
        <w:r w:rsidR="0001688C" w:rsidRPr="000C2154">
          <w:rPr>
            <w:rStyle w:val="Hyperlink"/>
            <w:noProof/>
          </w:rPr>
          <w:t>5.1</w:t>
        </w:r>
        <w:r w:rsidR="0001688C">
          <w:rPr>
            <w:rFonts w:asciiTheme="minorHAnsi" w:eastAsiaTheme="minorEastAsia" w:hAnsiTheme="minorHAnsi" w:cstheme="minorBidi"/>
            <w:noProof/>
            <w:sz w:val="22"/>
            <w:szCs w:val="22"/>
            <w:lang w:val="en-US"/>
          </w:rPr>
          <w:tab/>
        </w:r>
        <w:r w:rsidR="0001688C" w:rsidRPr="000C2154">
          <w:rPr>
            <w:rStyle w:val="Hyperlink"/>
            <w:noProof/>
          </w:rPr>
          <w:t>Registres de ventes et de contrats, de 1827 à 1926</w:t>
        </w:r>
        <w:r w:rsidR="0001688C">
          <w:rPr>
            <w:noProof/>
            <w:webHidden/>
          </w:rPr>
          <w:tab/>
        </w:r>
        <w:r w:rsidR="0001688C">
          <w:rPr>
            <w:noProof/>
            <w:webHidden/>
          </w:rPr>
          <w:fldChar w:fldCharType="begin"/>
        </w:r>
        <w:r w:rsidR="0001688C">
          <w:rPr>
            <w:noProof/>
            <w:webHidden/>
          </w:rPr>
          <w:instrText xml:space="preserve"> PAGEREF _Toc105054215 \h </w:instrText>
        </w:r>
        <w:r w:rsidR="0001688C">
          <w:rPr>
            <w:noProof/>
            <w:webHidden/>
          </w:rPr>
        </w:r>
        <w:r w:rsidR="0001688C">
          <w:rPr>
            <w:noProof/>
            <w:webHidden/>
          </w:rPr>
          <w:fldChar w:fldCharType="separate"/>
        </w:r>
        <w:r w:rsidR="0001688C">
          <w:rPr>
            <w:noProof/>
            <w:webHidden/>
          </w:rPr>
          <w:t>9</w:t>
        </w:r>
        <w:r w:rsidR="0001688C">
          <w:rPr>
            <w:noProof/>
            <w:webHidden/>
          </w:rPr>
          <w:fldChar w:fldCharType="end"/>
        </w:r>
      </w:hyperlink>
    </w:p>
    <w:p w14:paraId="56FBAD05" w14:textId="02F77B77"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16" w:history="1">
        <w:r w:rsidR="0001688C" w:rsidRPr="000C2154">
          <w:rPr>
            <w:rStyle w:val="Hyperlink"/>
            <w:noProof/>
          </w:rPr>
          <w:t>5.2</w:t>
        </w:r>
        <w:r w:rsidR="0001688C">
          <w:rPr>
            <w:rFonts w:asciiTheme="minorHAnsi" w:eastAsiaTheme="minorEastAsia" w:hAnsiTheme="minorHAnsi" w:cstheme="minorBidi"/>
            <w:noProof/>
            <w:sz w:val="22"/>
            <w:szCs w:val="22"/>
            <w:lang w:val="en-US"/>
          </w:rPr>
          <w:tab/>
        </w:r>
        <w:r w:rsidR="0001688C" w:rsidRPr="000C2154">
          <w:rPr>
            <w:rStyle w:val="Hyperlink"/>
            <w:noProof/>
          </w:rPr>
          <w:t>Registres de remise, de 1843 à 1846</w:t>
        </w:r>
        <w:r w:rsidR="0001688C">
          <w:rPr>
            <w:noProof/>
            <w:webHidden/>
          </w:rPr>
          <w:tab/>
        </w:r>
        <w:r w:rsidR="0001688C">
          <w:rPr>
            <w:noProof/>
            <w:webHidden/>
          </w:rPr>
          <w:fldChar w:fldCharType="begin"/>
        </w:r>
        <w:r w:rsidR="0001688C">
          <w:rPr>
            <w:noProof/>
            <w:webHidden/>
          </w:rPr>
          <w:instrText xml:space="preserve"> PAGEREF _Toc105054216 \h </w:instrText>
        </w:r>
        <w:r w:rsidR="0001688C">
          <w:rPr>
            <w:noProof/>
            <w:webHidden/>
          </w:rPr>
        </w:r>
        <w:r w:rsidR="0001688C">
          <w:rPr>
            <w:noProof/>
            <w:webHidden/>
          </w:rPr>
          <w:fldChar w:fldCharType="separate"/>
        </w:r>
        <w:r w:rsidR="0001688C">
          <w:rPr>
            <w:noProof/>
            <w:webHidden/>
          </w:rPr>
          <w:t>10</w:t>
        </w:r>
        <w:r w:rsidR="0001688C">
          <w:rPr>
            <w:noProof/>
            <w:webHidden/>
          </w:rPr>
          <w:fldChar w:fldCharType="end"/>
        </w:r>
      </w:hyperlink>
    </w:p>
    <w:p w14:paraId="102975E1" w14:textId="37BD5D05" w:rsidR="0001688C" w:rsidRDefault="00967DD6">
      <w:pPr>
        <w:pStyle w:val="TOC2"/>
        <w:rPr>
          <w:rFonts w:asciiTheme="minorHAnsi" w:eastAsiaTheme="minorEastAsia" w:hAnsiTheme="minorHAnsi" w:cstheme="minorBidi"/>
          <w:noProof/>
          <w:sz w:val="22"/>
          <w:szCs w:val="22"/>
          <w:lang w:val="en-US"/>
        </w:rPr>
      </w:pPr>
      <w:hyperlink w:anchor="_Toc105054217" w:history="1">
        <w:r w:rsidR="0001688C" w:rsidRPr="000C2154">
          <w:rPr>
            <w:rStyle w:val="Hyperlink"/>
            <w:noProof/>
          </w:rPr>
          <w:t>6.</w:t>
        </w:r>
        <w:r w:rsidR="0001688C">
          <w:rPr>
            <w:rFonts w:asciiTheme="minorHAnsi" w:eastAsiaTheme="minorEastAsia" w:hAnsiTheme="minorHAnsi" w:cstheme="minorBidi"/>
            <w:noProof/>
            <w:sz w:val="22"/>
            <w:szCs w:val="22"/>
            <w:lang w:val="en-US"/>
          </w:rPr>
          <w:tab/>
        </w:r>
        <w:r w:rsidR="0001688C" w:rsidRPr="000C2154">
          <w:rPr>
            <w:rStyle w:val="Hyperlink"/>
            <w:noProof/>
          </w:rPr>
          <w:t>Documenter les transactions foncières privées – le système d’enregistrement immobilier</w:t>
        </w:r>
        <w:r w:rsidR="0001688C">
          <w:rPr>
            <w:noProof/>
            <w:webHidden/>
          </w:rPr>
          <w:tab/>
        </w:r>
        <w:r w:rsidR="0001688C">
          <w:rPr>
            <w:noProof/>
            <w:webHidden/>
          </w:rPr>
          <w:fldChar w:fldCharType="begin"/>
        </w:r>
        <w:r w:rsidR="0001688C">
          <w:rPr>
            <w:noProof/>
            <w:webHidden/>
          </w:rPr>
          <w:instrText xml:space="preserve"> PAGEREF _Toc105054217 \h </w:instrText>
        </w:r>
        <w:r w:rsidR="0001688C">
          <w:rPr>
            <w:noProof/>
            <w:webHidden/>
          </w:rPr>
        </w:r>
        <w:r w:rsidR="0001688C">
          <w:rPr>
            <w:noProof/>
            <w:webHidden/>
          </w:rPr>
          <w:fldChar w:fldCharType="separate"/>
        </w:r>
        <w:r w:rsidR="0001688C">
          <w:rPr>
            <w:noProof/>
            <w:webHidden/>
          </w:rPr>
          <w:t>10</w:t>
        </w:r>
        <w:r w:rsidR="0001688C">
          <w:rPr>
            <w:noProof/>
            <w:webHidden/>
          </w:rPr>
          <w:fldChar w:fldCharType="end"/>
        </w:r>
      </w:hyperlink>
    </w:p>
    <w:p w14:paraId="219C0325" w14:textId="4F0B0C75" w:rsidR="0001688C" w:rsidRDefault="00967DD6">
      <w:pPr>
        <w:pStyle w:val="TOC2"/>
        <w:rPr>
          <w:rFonts w:asciiTheme="minorHAnsi" w:eastAsiaTheme="minorEastAsia" w:hAnsiTheme="minorHAnsi" w:cstheme="minorBidi"/>
          <w:noProof/>
          <w:sz w:val="22"/>
          <w:szCs w:val="22"/>
          <w:lang w:val="en-US"/>
        </w:rPr>
      </w:pPr>
      <w:hyperlink w:anchor="_Toc105054218" w:history="1">
        <w:r w:rsidR="0001688C" w:rsidRPr="000C2154">
          <w:rPr>
            <w:rStyle w:val="Hyperlink"/>
            <w:noProof/>
          </w:rPr>
          <w:t>7.</w:t>
        </w:r>
        <w:r w:rsidR="0001688C">
          <w:rPr>
            <w:rFonts w:asciiTheme="minorHAnsi" w:eastAsiaTheme="minorEastAsia" w:hAnsiTheme="minorHAnsi" w:cstheme="minorBidi"/>
            <w:noProof/>
            <w:sz w:val="22"/>
            <w:szCs w:val="22"/>
            <w:lang w:val="en-US"/>
          </w:rPr>
          <w:tab/>
        </w:r>
        <w:r w:rsidR="0001688C" w:rsidRPr="000C2154">
          <w:rPr>
            <w:rStyle w:val="Hyperlink"/>
            <w:noProof/>
          </w:rPr>
          <w:t>Cartes et plans</w:t>
        </w:r>
        <w:r w:rsidR="0001688C">
          <w:rPr>
            <w:noProof/>
            <w:webHidden/>
          </w:rPr>
          <w:tab/>
        </w:r>
        <w:r w:rsidR="0001688C">
          <w:rPr>
            <w:noProof/>
            <w:webHidden/>
          </w:rPr>
          <w:fldChar w:fldCharType="begin"/>
        </w:r>
        <w:r w:rsidR="0001688C">
          <w:rPr>
            <w:noProof/>
            <w:webHidden/>
          </w:rPr>
          <w:instrText xml:space="preserve"> PAGEREF _Toc105054218 \h </w:instrText>
        </w:r>
        <w:r w:rsidR="0001688C">
          <w:rPr>
            <w:noProof/>
            <w:webHidden/>
          </w:rPr>
        </w:r>
        <w:r w:rsidR="0001688C">
          <w:rPr>
            <w:noProof/>
            <w:webHidden/>
          </w:rPr>
          <w:fldChar w:fldCharType="separate"/>
        </w:r>
        <w:r w:rsidR="0001688C">
          <w:rPr>
            <w:noProof/>
            <w:webHidden/>
          </w:rPr>
          <w:t>10</w:t>
        </w:r>
        <w:r w:rsidR="0001688C">
          <w:rPr>
            <w:noProof/>
            <w:webHidden/>
          </w:rPr>
          <w:fldChar w:fldCharType="end"/>
        </w:r>
      </w:hyperlink>
    </w:p>
    <w:p w14:paraId="79316413" w14:textId="70311502"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19" w:history="1">
        <w:r w:rsidR="0001688C" w:rsidRPr="000C2154">
          <w:rPr>
            <w:rStyle w:val="Hyperlink"/>
            <w:noProof/>
          </w:rPr>
          <w:t>7.1</w:t>
        </w:r>
        <w:r w:rsidR="0001688C">
          <w:rPr>
            <w:rFonts w:asciiTheme="minorHAnsi" w:eastAsiaTheme="minorEastAsia" w:hAnsiTheme="minorHAnsi" w:cstheme="minorBidi"/>
            <w:noProof/>
            <w:sz w:val="22"/>
            <w:szCs w:val="22"/>
            <w:lang w:val="en-US"/>
          </w:rPr>
          <w:tab/>
        </w:r>
        <w:r w:rsidR="0001688C" w:rsidRPr="000C2154">
          <w:rPr>
            <w:rStyle w:val="Hyperlink"/>
            <w:noProof/>
          </w:rPr>
          <w:t>Levés de plans des cantons</w:t>
        </w:r>
        <w:r w:rsidR="0001688C">
          <w:rPr>
            <w:noProof/>
            <w:webHidden/>
          </w:rPr>
          <w:tab/>
        </w:r>
        <w:r w:rsidR="0001688C">
          <w:rPr>
            <w:noProof/>
            <w:webHidden/>
          </w:rPr>
          <w:fldChar w:fldCharType="begin"/>
        </w:r>
        <w:r w:rsidR="0001688C">
          <w:rPr>
            <w:noProof/>
            <w:webHidden/>
          </w:rPr>
          <w:instrText xml:space="preserve"> PAGEREF _Toc105054219 \h </w:instrText>
        </w:r>
        <w:r w:rsidR="0001688C">
          <w:rPr>
            <w:noProof/>
            <w:webHidden/>
          </w:rPr>
        </w:r>
        <w:r w:rsidR="0001688C">
          <w:rPr>
            <w:noProof/>
            <w:webHidden/>
          </w:rPr>
          <w:fldChar w:fldCharType="separate"/>
        </w:r>
        <w:r w:rsidR="0001688C">
          <w:rPr>
            <w:noProof/>
            <w:webHidden/>
          </w:rPr>
          <w:t>11</w:t>
        </w:r>
        <w:r w:rsidR="0001688C">
          <w:rPr>
            <w:noProof/>
            <w:webHidden/>
          </w:rPr>
          <w:fldChar w:fldCharType="end"/>
        </w:r>
      </w:hyperlink>
    </w:p>
    <w:p w14:paraId="76D93199" w14:textId="262B0967"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20" w:history="1">
        <w:r w:rsidR="0001688C" w:rsidRPr="000C2154">
          <w:rPr>
            <w:rStyle w:val="Hyperlink"/>
            <w:noProof/>
          </w:rPr>
          <w:t>7.2</w:t>
        </w:r>
        <w:r w:rsidR="0001688C">
          <w:rPr>
            <w:rFonts w:asciiTheme="minorHAnsi" w:eastAsiaTheme="minorEastAsia" w:hAnsiTheme="minorHAnsi" w:cstheme="minorBidi"/>
            <w:noProof/>
            <w:sz w:val="22"/>
            <w:szCs w:val="22"/>
            <w:lang w:val="en-US"/>
          </w:rPr>
          <w:tab/>
        </w:r>
        <w:r w:rsidR="0001688C" w:rsidRPr="000C2154">
          <w:rPr>
            <w:rStyle w:val="Hyperlink"/>
            <w:noProof/>
          </w:rPr>
          <w:t>Plans des concessions</w:t>
        </w:r>
        <w:r w:rsidR="0001688C">
          <w:rPr>
            <w:noProof/>
            <w:webHidden/>
          </w:rPr>
          <w:tab/>
        </w:r>
        <w:r w:rsidR="0001688C">
          <w:rPr>
            <w:noProof/>
            <w:webHidden/>
          </w:rPr>
          <w:fldChar w:fldCharType="begin"/>
        </w:r>
        <w:r w:rsidR="0001688C">
          <w:rPr>
            <w:noProof/>
            <w:webHidden/>
          </w:rPr>
          <w:instrText xml:space="preserve"> PAGEREF _Toc105054220 \h </w:instrText>
        </w:r>
        <w:r w:rsidR="0001688C">
          <w:rPr>
            <w:noProof/>
            <w:webHidden/>
          </w:rPr>
        </w:r>
        <w:r w:rsidR="0001688C">
          <w:rPr>
            <w:noProof/>
            <w:webHidden/>
          </w:rPr>
          <w:fldChar w:fldCharType="separate"/>
        </w:r>
        <w:r w:rsidR="0001688C">
          <w:rPr>
            <w:noProof/>
            <w:webHidden/>
          </w:rPr>
          <w:t>11</w:t>
        </w:r>
        <w:r w:rsidR="0001688C">
          <w:rPr>
            <w:noProof/>
            <w:webHidden/>
          </w:rPr>
          <w:fldChar w:fldCharType="end"/>
        </w:r>
      </w:hyperlink>
    </w:p>
    <w:p w14:paraId="0550AECD" w14:textId="33D9108A" w:rsidR="0001688C" w:rsidRDefault="00967DD6">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54221" w:history="1">
        <w:r w:rsidR="0001688C" w:rsidRPr="000C2154">
          <w:rPr>
            <w:rStyle w:val="Hyperlink"/>
            <w:noProof/>
          </w:rPr>
          <w:t>7.3</w:t>
        </w:r>
        <w:r w:rsidR="0001688C">
          <w:rPr>
            <w:rFonts w:asciiTheme="minorHAnsi" w:eastAsiaTheme="minorEastAsia" w:hAnsiTheme="minorHAnsi" w:cstheme="minorBidi"/>
            <w:noProof/>
            <w:sz w:val="22"/>
            <w:szCs w:val="22"/>
            <w:lang w:val="en-US"/>
          </w:rPr>
          <w:tab/>
        </w:r>
        <w:r w:rsidR="0001688C" w:rsidRPr="000C2154">
          <w:rPr>
            <w:rStyle w:val="Hyperlink"/>
            <w:noProof/>
          </w:rPr>
          <w:t>Autres cartes et plans</w:t>
        </w:r>
        <w:r w:rsidR="0001688C">
          <w:rPr>
            <w:noProof/>
            <w:webHidden/>
          </w:rPr>
          <w:tab/>
        </w:r>
        <w:r w:rsidR="0001688C">
          <w:rPr>
            <w:noProof/>
            <w:webHidden/>
          </w:rPr>
          <w:fldChar w:fldCharType="begin"/>
        </w:r>
        <w:r w:rsidR="0001688C">
          <w:rPr>
            <w:noProof/>
            <w:webHidden/>
          </w:rPr>
          <w:instrText xml:space="preserve"> PAGEREF _Toc105054221 \h </w:instrText>
        </w:r>
        <w:r w:rsidR="0001688C">
          <w:rPr>
            <w:noProof/>
            <w:webHidden/>
          </w:rPr>
        </w:r>
        <w:r w:rsidR="0001688C">
          <w:rPr>
            <w:noProof/>
            <w:webHidden/>
          </w:rPr>
          <w:fldChar w:fldCharType="separate"/>
        </w:r>
        <w:r w:rsidR="0001688C">
          <w:rPr>
            <w:noProof/>
            <w:webHidden/>
          </w:rPr>
          <w:t>11</w:t>
        </w:r>
        <w:r w:rsidR="0001688C">
          <w:rPr>
            <w:noProof/>
            <w:webHidden/>
          </w:rPr>
          <w:fldChar w:fldCharType="end"/>
        </w:r>
      </w:hyperlink>
    </w:p>
    <w:p w14:paraId="034E9776" w14:textId="33B446C6" w:rsidR="0001688C" w:rsidRDefault="00967DD6">
      <w:pPr>
        <w:pStyle w:val="TOC1"/>
        <w:tabs>
          <w:tab w:val="right" w:leader="dot" w:pos="9350"/>
        </w:tabs>
        <w:rPr>
          <w:rFonts w:asciiTheme="minorHAnsi" w:eastAsiaTheme="minorEastAsia" w:hAnsiTheme="minorHAnsi" w:cstheme="minorBidi"/>
          <w:b w:val="0"/>
          <w:noProof/>
          <w:sz w:val="22"/>
          <w:szCs w:val="22"/>
          <w:lang w:val="en-US"/>
        </w:rPr>
      </w:pPr>
      <w:hyperlink w:anchor="_Toc105054222" w:history="1">
        <w:r w:rsidR="0001688C" w:rsidRPr="000C2154">
          <w:rPr>
            <w:rStyle w:val="Hyperlink"/>
            <w:noProof/>
            <w:lang w:val="en-CA"/>
          </w:rPr>
          <w:t>Comment accéder aux descriptions en ligne?</w:t>
        </w:r>
        <w:r w:rsidR="0001688C">
          <w:rPr>
            <w:noProof/>
            <w:webHidden/>
          </w:rPr>
          <w:tab/>
        </w:r>
        <w:r w:rsidR="0001688C">
          <w:rPr>
            <w:noProof/>
            <w:webHidden/>
          </w:rPr>
          <w:fldChar w:fldCharType="begin"/>
        </w:r>
        <w:r w:rsidR="0001688C">
          <w:rPr>
            <w:noProof/>
            <w:webHidden/>
          </w:rPr>
          <w:instrText xml:space="preserve"> PAGEREF _Toc105054222 \h </w:instrText>
        </w:r>
        <w:r w:rsidR="0001688C">
          <w:rPr>
            <w:noProof/>
            <w:webHidden/>
          </w:rPr>
        </w:r>
        <w:r w:rsidR="0001688C">
          <w:rPr>
            <w:noProof/>
            <w:webHidden/>
          </w:rPr>
          <w:fldChar w:fldCharType="separate"/>
        </w:r>
        <w:r w:rsidR="0001688C">
          <w:rPr>
            <w:noProof/>
            <w:webHidden/>
          </w:rPr>
          <w:t>13</w:t>
        </w:r>
        <w:r w:rsidR="0001688C">
          <w:rPr>
            <w:noProof/>
            <w:webHidden/>
          </w:rPr>
          <w:fldChar w:fldCharType="end"/>
        </w:r>
      </w:hyperlink>
    </w:p>
    <w:p w14:paraId="79154B0D" w14:textId="1B0FE192" w:rsidR="0001688C" w:rsidRDefault="00967DD6">
      <w:pPr>
        <w:pStyle w:val="TOC1"/>
        <w:tabs>
          <w:tab w:val="right" w:leader="dot" w:pos="9350"/>
        </w:tabs>
        <w:rPr>
          <w:rFonts w:asciiTheme="minorHAnsi" w:eastAsiaTheme="minorEastAsia" w:hAnsiTheme="minorHAnsi" w:cstheme="minorBidi"/>
          <w:b w:val="0"/>
          <w:noProof/>
          <w:sz w:val="22"/>
          <w:szCs w:val="22"/>
          <w:lang w:val="en-US"/>
        </w:rPr>
      </w:pPr>
      <w:hyperlink w:anchor="_Toc105054223" w:history="1">
        <w:r w:rsidR="0001688C" w:rsidRPr="000C2154">
          <w:rPr>
            <w:rStyle w:val="Hyperlink"/>
            <w:noProof/>
          </w:rPr>
          <w:t>Pour nous joindre</w:t>
        </w:r>
        <w:r w:rsidR="0001688C">
          <w:rPr>
            <w:noProof/>
            <w:webHidden/>
          </w:rPr>
          <w:tab/>
        </w:r>
        <w:r w:rsidR="0001688C">
          <w:rPr>
            <w:noProof/>
            <w:webHidden/>
          </w:rPr>
          <w:fldChar w:fldCharType="begin"/>
        </w:r>
        <w:r w:rsidR="0001688C">
          <w:rPr>
            <w:noProof/>
            <w:webHidden/>
          </w:rPr>
          <w:instrText xml:space="preserve"> PAGEREF _Toc105054223 \h </w:instrText>
        </w:r>
        <w:r w:rsidR="0001688C">
          <w:rPr>
            <w:noProof/>
            <w:webHidden/>
          </w:rPr>
        </w:r>
        <w:r w:rsidR="0001688C">
          <w:rPr>
            <w:noProof/>
            <w:webHidden/>
          </w:rPr>
          <w:fldChar w:fldCharType="separate"/>
        </w:r>
        <w:r w:rsidR="0001688C">
          <w:rPr>
            <w:noProof/>
            <w:webHidden/>
          </w:rPr>
          <w:t>15</w:t>
        </w:r>
        <w:r w:rsidR="0001688C">
          <w:rPr>
            <w:noProof/>
            <w:webHidden/>
          </w:rPr>
          <w:fldChar w:fldCharType="end"/>
        </w:r>
      </w:hyperlink>
    </w:p>
    <w:p w14:paraId="74D14EFD" w14:textId="40ED32FA" w:rsidR="00800D3C" w:rsidRPr="00CE7754" w:rsidRDefault="001A4C86" w:rsidP="00800D3C">
      <w:pPr>
        <w:pStyle w:val="Heading1"/>
      </w:pPr>
      <w:r w:rsidRPr="00CE7754">
        <w:rPr>
          <w:rStyle w:val="normaltextrun"/>
          <w:sz w:val="24"/>
        </w:rPr>
        <w:fldChar w:fldCharType="end"/>
      </w:r>
      <w:bookmarkStart w:id="7" w:name="_Toc105054204"/>
      <w:r w:rsidRPr="00CE7754">
        <w:rPr>
          <w:rStyle w:val="normaltextrun"/>
        </w:rPr>
        <w:t>Dans le présent guide</w:t>
      </w:r>
      <w:bookmarkEnd w:id="6"/>
      <w:bookmarkEnd w:id="7"/>
      <w:r w:rsidRPr="00CE7754">
        <w:rPr>
          <w:rStyle w:val="eop"/>
        </w:rPr>
        <w:t> </w:t>
      </w:r>
    </w:p>
    <w:p w14:paraId="1CD0467C" w14:textId="77777777" w:rsidR="00800D3C" w:rsidRPr="00CE7754" w:rsidRDefault="00800D3C" w:rsidP="00800D3C">
      <w:pPr>
        <w:pStyle w:val="paragraph"/>
        <w:spacing w:before="0" w:beforeAutospacing="0" w:after="0" w:afterAutospacing="0"/>
        <w:textAlignment w:val="baseline"/>
        <w:rPr>
          <w:rFonts w:ascii="Arial" w:hAnsi="Arial" w:cs="Arial"/>
          <w:sz w:val="18"/>
          <w:szCs w:val="18"/>
        </w:rPr>
      </w:pPr>
      <w:r w:rsidRPr="00CE7754">
        <w:rPr>
          <w:rStyle w:val="eop"/>
          <w:rFonts w:ascii="Arial" w:hAnsi="Arial"/>
        </w:rPr>
        <w:t> </w:t>
      </w:r>
    </w:p>
    <w:p w14:paraId="7D2CBF36" w14:textId="6347540D" w:rsidR="00800D3C" w:rsidRPr="00CE7754" w:rsidRDefault="00800D3C" w:rsidP="00800D3C">
      <w:pPr>
        <w:pStyle w:val="paragraph"/>
        <w:spacing w:before="0" w:beforeAutospacing="0" w:after="0" w:afterAutospacing="0"/>
        <w:textAlignment w:val="baseline"/>
        <w:rPr>
          <w:rFonts w:ascii="Arial" w:hAnsi="Arial" w:cs="Arial"/>
        </w:rPr>
      </w:pPr>
      <w:r w:rsidRPr="00CE7754">
        <w:rPr>
          <w:rStyle w:val="normaltextrun"/>
          <w:rFonts w:ascii="Arial" w:hAnsi="Arial"/>
        </w:rPr>
        <w:t>Le présent guide contient des renseignements sur les documents des Archives publiques de l’Ontario concernant la propriété foncière des années 1780 à 1850.</w:t>
      </w:r>
    </w:p>
    <w:p w14:paraId="7E23097F" w14:textId="6CD1D353" w:rsidR="004A5E4D" w:rsidRPr="00CE7754" w:rsidRDefault="004A5E4D" w:rsidP="004A5E4D">
      <w:pPr>
        <w:spacing w:before="100" w:beforeAutospacing="1" w:after="100" w:afterAutospacing="1"/>
        <w:rPr>
          <w:rFonts w:cs="Arial"/>
        </w:rPr>
      </w:pPr>
      <w:r w:rsidRPr="00CE7754">
        <w:t xml:space="preserve">La région que nous appelons aujourd’hui l’Ontario est le territoire traditionnel et le lieu de résidence actuel de nombreux peuples autochtones. Les </w:t>
      </w:r>
      <w:proofErr w:type="spellStart"/>
      <w:r w:rsidRPr="00CE7754">
        <w:t>Anishinaabes</w:t>
      </w:r>
      <w:proofErr w:type="spellEnd"/>
      <w:r w:rsidRPr="00CE7754">
        <w:t xml:space="preserve">, le peuple </w:t>
      </w:r>
      <w:proofErr w:type="spellStart"/>
      <w:r w:rsidRPr="00CE7754">
        <w:t>haudenosaunee</w:t>
      </w:r>
      <w:proofErr w:type="spellEnd"/>
      <w:r w:rsidRPr="00CE7754">
        <w:t>, les Cris et de nombreuses autres nations vivaient et travaillaient sur ce territoire bien avant sa découverte par les explorateurs français et britanniques au 17</w:t>
      </w:r>
      <w:r w:rsidRPr="00CE7754">
        <w:rPr>
          <w:vertAlign w:val="superscript"/>
        </w:rPr>
        <w:t>e </w:t>
      </w:r>
      <w:r w:rsidRPr="00CE7754">
        <w:t>siècle.</w:t>
      </w:r>
    </w:p>
    <w:p w14:paraId="48A4F8A2" w14:textId="387F56F9" w:rsidR="004A5E4D" w:rsidRPr="00CE7754" w:rsidRDefault="00EF28BA" w:rsidP="004A5E4D">
      <w:pPr>
        <w:spacing w:before="100" w:beforeAutospacing="1" w:after="100" w:afterAutospacing="1"/>
        <w:rPr>
          <w:rFonts w:cs="Arial"/>
        </w:rPr>
      </w:pPr>
      <w:r w:rsidRPr="00CE7754">
        <w:t>Dans les années 1780, après la Révolution américaine, les gens qui souhaitaient demeurer sous le règne britannique ont migré vers la région connue maintenant comme l’Ontario. Certains Américains, attirés par les politiques d’octroi de terres gratuites, les ont suivis</w:t>
      </w:r>
      <w:r w:rsidR="00C54242" w:rsidRPr="00CE7754">
        <w:t xml:space="preserve">. </w:t>
      </w:r>
      <w:r w:rsidRPr="00CE7754">
        <w:t xml:space="preserve">Les Canadiens français occupaient déjà des terres dans les environs de </w:t>
      </w:r>
      <w:r w:rsidRPr="00CE7754">
        <w:lastRenderedPageBreak/>
        <w:t>l’actuelle ville de Windsor</w:t>
      </w:r>
      <w:r w:rsidR="00C54242" w:rsidRPr="00CE7754">
        <w:t xml:space="preserve">. </w:t>
      </w:r>
      <w:r w:rsidRPr="00CE7754">
        <w:t>Après les guerres napoléoniennes en 1815, d’anciens combattants de l’armée britannique et d’autres personnes, principalement originaires des îles Britanniques, se sont joints à ces premiers groupes d’immigrants.</w:t>
      </w:r>
    </w:p>
    <w:p w14:paraId="38B0755A" w14:textId="77CF343A" w:rsidR="00800D3C" w:rsidRPr="00CE7754" w:rsidRDefault="00D01FF9" w:rsidP="00646D23">
      <w:pPr>
        <w:spacing w:before="100" w:beforeAutospacing="1" w:after="100" w:afterAutospacing="1"/>
        <w:rPr>
          <w:rFonts w:cs="Arial"/>
          <w:sz w:val="18"/>
          <w:szCs w:val="18"/>
        </w:rPr>
      </w:pPr>
      <w:r w:rsidRPr="00CE7754">
        <w:t>À la suite des traités conclus avec les nations autochtones, la Couronne (le gouvernement britannique et les gouvernements locaux) a transféré les titres de propriété à des particuliers ou à des sociétés. Au départ, elle a octroyé la plupart de ces terres gratuitement (à l’exception des frais administratifs)</w:t>
      </w:r>
      <w:r w:rsidR="00C54242" w:rsidRPr="00CE7754">
        <w:t xml:space="preserve">. </w:t>
      </w:r>
      <w:r w:rsidRPr="00CE7754">
        <w:t>À partir des années 1820, la plupart des terres de la Couronne étaient vendues plutôt qu’octroyées. Des particuliers et des sociétés ont également participé aux initiatives de colonisation.</w:t>
      </w:r>
      <w:r w:rsidRPr="00CE7754">
        <w:rPr>
          <w:rStyle w:val="eop"/>
        </w:rPr>
        <w:t> Un système de registre foncier a été mis en place pour documenter les transactions privées.</w:t>
      </w:r>
    </w:p>
    <w:p w14:paraId="6492C58D" w14:textId="501108DB" w:rsidR="00800D3C" w:rsidRPr="00CE7754" w:rsidRDefault="00800D3C" w:rsidP="00800D3C">
      <w:pPr>
        <w:pStyle w:val="paragraph"/>
        <w:spacing w:before="0" w:beforeAutospacing="0" w:after="0" w:afterAutospacing="0"/>
        <w:textAlignment w:val="baseline"/>
        <w:rPr>
          <w:rStyle w:val="eop"/>
          <w:rFonts w:ascii="Arial" w:hAnsi="Arial" w:cs="Arial"/>
        </w:rPr>
      </w:pPr>
      <w:r w:rsidRPr="00CE7754">
        <w:rPr>
          <w:rStyle w:val="normaltextrun"/>
          <w:rFonts w:ascii="Arial" w:hAnsi="Arial"/>
        </w:rPr>
        <w:t>* Veuillez noter : Ce guide contient des liens vers des renseignements trouvés dans notre Base de données des descriptions des documents d’archives en ligne</w:t>
      </w:r>
      <w:r w:rsidR="00C54242" w:rsidRPr="00CE7754">
        <w:rPr>
          <w:rStyle w:val="normaltextrun"/>
          <w:rFonts w:ascii="Arial" w:hAnsi="Arial"/>
        </w:rPr>
        <w:t xml:space="preserve">. </w:t>
      </w:r>
      <w:r w:rsidRPr="00CE7754">
        <w:rPr>
          <w:rStyle w:val="normaltextrun"/>
          <w:rFonts w:ascii="Arial" w:hAnsi="Arial"/>
        </w:rPr>
        <w:t>Sur notre site Web, cette base de données se trouve sous la rubrique « Accédez à nos collections »</w:t>
      </w:r>
      <w:r w:rsidR="00C54242" w:rsidRPr="00CE7754">
        <w:rPr>
          <w:rStyle w:val="normaltextrun"/>
          <w:rFonts w:ascii="Arial" w:hAnsi="Arial"/>
        </w:rPr>
        <w:t xml:space="preserve">. </w:t>
      </w:r>
      <w:r w:rsidRPr="00CE7754">
        <w:rPr>
          <w:rStyle w:val="normaltextrun"/>
          <w:rFonts w:ascii="Arial" w:hAnsi="Arial"/>
        </w:rPr>
        <w:t>Si vous utilisez une version imprimée du présent guide, rendez-vous à la page 11 pour obtenir plus de renseignements sur la manière de trouver les descriptions en ligne.</w:t>
      </w:r>
    </w:p>
    <w:p w14:paraId="61A7BE33" w14:textId="7B388DA7" w:rsidR="0043714D" w:rsidRPr="00CE7754" w:rsidRDefault="0043714D" w:rsidP="00800D3C">
      <w:pPr>
        <w:pStyle w:val="paragraph"/>
        <w:spacing w:before="0" w:beforeAutospacing="0" w:after="0" w:afterAutospacing="0"/>
        <w:textAlignment w:val="baseline"/>
        <w:rPr>
          <w:rStyle w:val="eop"/>
          <w:rFonts w:ascii="Arial" w:hAnsi="Arial" w:cs="Arial"/>
          <w:lang w:val="fr-FR"/>
        </w:rPr>
      </w:pPr>
    </w:p>
    <w:p w14:paraId="439F4BC9" w14:textId="264AB9F5" w:rsidR="0043714D" w:rsidRPr="00CE7754" w:rsidRDefault="0043714D" w:rsidP="00800D3C">
      <w:pPr>
        <w:pStyle w:val="paragraph"/>
        <w:spacing w:before="0" w:beforeAutospacing="0" w:after="0" w:afterAutospacing="0"/>
        <w:textAlignment w:val="baseline"/>
        <w:rPr>
          <w:rFonts w:ascii="Arial" w:hAnsi="Arial" w:cs="Arial"/>
          <w:sz w:val="18"/>
          <w:szCs w:val="18"/>
        </w:rPr>
      </w:pPr>
      <w:r w:rsidRPr="00CE7754">
        <w:rPr>
          <w:rStyle w:val="eop"/>
          <w:rFonts w:ascii="Arial" w:hAnsi="Arial"/>
        </w:rPr>
        <w:t xml:space="preserve">Le présent guide propose aussi des liens vers le catalogue de notre Service de prêts </w:t>
      </w:r>
      <w:proofErr w:type="spellStart"/>
      <w:r w:rsidRPr="00CE7754">
        <w:rPr>
          <w:rStyle w:val="eop"/>
          <w:rFonts w:ascii="Arial" w:hAnsi="Arial"/>
        </w:rPr>
        <w:t>interétablissement</w:t>
      </w:r>
      <w:proofErr w:type="spellEnd"/>
      <w:r w:rsidRPr="00CE7754">
        <w:rPr>
          <w:rStyle w:val="eop"/>
          <w:rFonts w:ascii="Arial" w:hAnsi="Arial"/>
        </w:rPr>
        <w:t xml:space="preserve"> des microfilms</w:t>
      </w:r>
      <w:r w:rsidR="00C54242" w:rsidRPr="00CE7754">
        <w:rPr>
          <w:rStyle w:val="normaltextrun"/>
          <w:rFonts w:ascii="Arial" w:hAnsi="Arial"/>
          <w:color w:val="000000"/>
          <w:shd w:val="clear" w:color="auto" w:fill="FFFFFF"/>
        </w:rPr>
        <w:t xml:space="preserve">. </w:t>
      </w:r>
      <w:hyperlink r:id="rId14" w:history="1">
        <w:r w:rsidRPr="00CE7754">
          <w:rPr>
            <w:rStyle w:val="Hyperlink"/>
            <w:rFonts w:ascii="Arial" w:hAnsi="Arial"/>
          </w:rPr>
          <w:t xml:space="preserve">Cliquez ici pour consulter le catalogue de notre Service de prêts </w:t>
        </w:r>
        <w:proofErr w:type="spellStart"/>
        <w:r w:rsidRPr="00CE7754">
          <w:rPr>
            <w:rStyle w:val="Hyperlink"/>
            <w:rFonts w:ascii="Arial" w:hAnsi="Arial"/>
          </w:rPr>
          <w:t>interétablissement</w:t>
        </w:r>
        <w:proofErr w:type="spellEnd"/>
        <w:r w:rsidRPr="00CE7754">
          <w:rPr>
            <w:rStyle w:val="Hyperlink"/>
            <w:rFonts w:ascii="Arial" w:hAnsi="Arial"/>
          </w:rPr>
          <w:t xml:space="preserve"> des microfilms</w:t>
        </w:r>
      </w:hyperlink>
      <w:r w:rsidR="00C54242" w:rsidRPr="00CE7754">
        <w:rPr>
          <w:rStyle w:val="normaltextrun"/>
          <w:rFonts w:ascii="Arial" w:hAnsi="Arial"/>
          <w:color w:val="000000"/>
        </w:rPr>
        <w:t xml:space="preserve">. </w:t>
      </w:r>
      <w:r w:rsidRPr="00CE7754">
        <w:rPr>
          <w:rStyle w:val="normaltextrun"/>
          <w:rFonts w:ascii="Arial" w:hAnsi="Arial"/>
          <w:color w:val="000000"/>
        </w:rPr>
        <w:t>Sur notre site Web, ce catalogue se trouve sous la rubrique « Accédez à nos collections ».</w:t>
      </w:r>
    </w:p>
    <w:p w14:paraId="6DB1937A" w14:textId="77777777" w:rsidR="00800D3C" w:rsidRPr="00CE7754" w:rsidRDefault="00800D3C" w:rsidP="00800D3C">
      <w:pPr>
        <w:rPr>
          <w:rFonts w:cs="Arial"/>
          <w:color w:val="000000"/>
          <w:sz w:val="22"/>
          <w:lang w:val="fr-FR"/>
        </w:rPr>
      </w:pPr>
    </w:p>
    <w:p w14:paraId="5073A6AE" w14:textId="77777777" w:rsidR="00800D3C" w:rsidRPr="00CE7754" w:rsidRDefault="00800D3C" w:rsidP="00800D3C">
      <w:pPr>
        <w:pStyle w:val="Heading1"/>
      </w:pPr>
      <w:bookmarkStart w:id="8" w:name="_Toc43282617"/>
      <w:bookmarkStart w:id="9" w:name="_Toc105054205"/>
      <w:r w:rsidRPr="00CE7754">
        <w:rPr>
          <w:rStyle w:val="normaltextrun"/>
        </w:rPr>
        <w:t>Où puis-je trouver ces documents?</w:t>
      </w:r>
      <w:bookmarkEnd w:id="8"/>
      <w:bookmarkEnd w:id="9"/>
      <w:r w:rsidRPr="00CE7754">
        <w:rPr>
          <w:rStyle w:val="eop"/>
        </w:rPr>
        <w:t> </w:t>
      </w:r>
    </w:p>
    <w:p w14:paraId="7FCE48AF" w14:textId="77777777" w:rsidR="00800D3C" w:rsidRPr="00CE7754" w:rsidRDefault="00800D3C" w:rsidP="00800D3C">
      <w:pPr>
        <w:pStyle w:val="paragraph"/>
        <w:spacing w:before="0" w:beforeAutospacing="0" w:after="0" w:afterAutospacing="0"/>
        <w:textAlignment w:val="baseline"/>
        <w:rPr>
          <w:rStyle w:val="eop"/>
          <w:rFonts w:ascii="Arial" w:hAnsi="Arial" w:cs="Arial"/>
        </w:rPr>
      </w:pPr>
      <w:r w:rsidRPr="00CE7754">
        <w:rPr>
          <w:rStyle w:val="eop"/>
          <w:rFonts w:ascii="Arial" w:hAnsi="Arial"/>
        </w:rPr>
        <w:t> </w:t>
      </w:r>
    </w:p>
    <w:p w14:paraId="249BC5BB" w14:textId="673DF6C5" w:rsidR="004C3CED" w:rsidRPr="00CE7754" w:rsidRDefault="00646D23" w:rsidP="00800D3C">
      <w:pPr>
        <w:pStyle w:val="paragraph"/>
        <w:spacing w:before="0" w:beforeAutospacing="0" w:after="0" w:afterAutospacing="0"/>
        <w:textAlignment w:val="baseline"/>
        <w:rPr>
          <w:rStyle w:val="normaltextrun"/>
          <w:rFonts w:ascii="Arial" w:hAnsi="Arial" w:cs="Arial"/>
          <w:color w:val="000000"/>
        </w:rPr>
      </w:pPr>
      <w:r w:rsidRPr="00CE7754">
        <w:rPr>
          <w:rStyle w:val="normaltextrun"/>
          <w:rFonts w:ascii="Arial" w:hAnsi="Arial"/>
          <w:color w:val="000000"/>
          <w:shd w:val="clear" w:color="auto" w:fill="FFFFFF"/>
        </w:rPr>
        <w:t>La plupart des documents mentionnés dans le présent guide sont sur microfilm et il n’est pas nécessaire de les commander à l’avance pour les consulter dans notre salle de lecture</w:t>
      </w:r>
      <w:r w:rsidR="00C54242" w:rsidRPr="00CE7754">
        <w:rPr>
          <w:rStyle w:val="normaltextrun"/>
          <w:rFonts w:ascii="Arial" w:hAnsi="Arial"/>
          <w:color w:val="000000"/>
          <w:shd w:val="clear" w:color="auto" w:fill="FFFFFF"/>
        </w:rPr>
        <w:t xml:space="preserve">. </w:t>
      </w:r>
      <w:r w:rsidRPr="00CE7754">
        <w:rPr>
          <w:rStyle w:val="normaltextrun"/>
          <w:rFonts w:ascii="Arial" w:hAnsi="Arial"/>
          <w:color w:val="000000"/>
          <w:shd w:val="clear" w:color="auto" w:fill="FFFFFF"/>
        </w:rPr>
        <w:t xml:space="preserve">Les bibliothèques qui offrent le service de prêts </w:t>
      </w:r>
      <w:proofErr w:type="spellStart"/>
      <w:r w:rsidRPr="00CE7754">
        <w:rPr>
          <w:rStyle w:val="normaltextrun"/>
          <w:rFonts w:ascii="Arial" w:hAnsi="Arial"/>
          <w:color w:val="000000"/>
          <w:shd w:val="clear" w:color="auto" w:fill="FFFFFF"/>
        </w:rPr>
        <w:t>interétablissement</w:t>
      </w:r>
      <w:proofErr w:type="spellEnd"/>
      <w:r w:rsidRPr="00CE7754">
        <w:rPr>
          <w:rStyle w:val="normaltextrun"/>
          <w:rFonts w:ascii="Arial" w:hAnsi="Arial"/>
          <w:color w:val="000000"/>
          <w:shd w:val="clear" w:color="auto" w:fill="FFFFFF"/>
        </w:rPr>
        <w:t xml:space="preserve"> peuvent également emprunter la plupart des bobines pour vous</w:t>
      </w:r>
      <w:bookmarkStart w:id="10" w:name="_Hlk57197965"/>
      <w:r w:rsidR="00C54242" w:rsidRPr="00CE7754">
        <w:rPr>
          <w:rStyle w:val="normaltextrun"/>
          <w:rFonts w:ascii="Arial" w:hAnsi="Arial"/>
          <w:color w:val="000000"/>
          <w:shd w:val="clear" w:color="auto" w:fill="FFFFFF"/>
        </w:rPr>
        <w:t xml:space="preserve">. </w:t>
      </w:r>
    </w:p>
    <w:p w14:paraId="41CE2545" w14:textId="77777777" w:rsidR="004C3CED" w:rsidRPr="00CE7754" w:rsidRDefault="004C3CED" w:rsidP="00800D3C">
      <w:pPr>
        <w:pStyle w:val="paragraph"/>
        <w:spacing w:before="0" w:beforeAutospacing="0" w:after="0" w:afterAutospacing="0"/>
        <w:textAlignment w:val="baseline"/>
        <w:rPr>
          <w:rStyle w:val="normaltextrun"/>
          <w:rFonts w:ascii="Arial" w:hAnsi="Arial" w:cs="Arial"/>
          <w:color w:val="000000"/>
          <w:lang w:val="fr-FR"/>
        </w:rPr>
      </w:pPr>
    </w:p>
    <w:bookmarkEnd w:id="10"/>
    <w:p w14:paraId="3D213ECE" w14:textId="62D286E2" w:rsidR="000D40FA" w:rsidRPr="00CE7754" w:rsidRDefault="00077FBA" w:rsidP="00800D3C">
      <w:pPr>
        <w:pStyle w:val="paragraph"/>
        <w:spacing w:before="0" w:beforeAutospacing="0" w:after="0" w:afterAutospacing="0"/>
        <w:textAlignment w:val="baseline"/>
        <w:rPr>
          <w:rStyle w:val="normaltextrun"/>
          <w:rFonts w:ascii="Arial" w:hAnsi="Arial" w:cs="Arial"/>
          <w:color w:val="000000"/>
        </w:rPr>
      </w:pPr>
      <w:r w:rsidRPr="00CE7754">
        <w:rPr>
          <w:rStyle w:val="normaltextrun"/>
          <w:rFonts w:ascii="Arial" w:hAnsi="Arial"/>
          <w:color w:val="000000"/>
        </w:rPr>
        <w:t xml:space="preserve">Certains documents sont des copies de ceux conservés par Bibliothèque et Archives Canada. </w:t>
      </w:r>
      <w:proofErr w:type="gramStart"/>
      <w:r w:rsidRPr="00CE7754">
        <w:rPr>
          <w:rStyle w:val="normaltextrun"/>
          <w:rFonts w:ascii="Arial" w:hAnsi="Arial"/>
          <w:color w:val="000000"/>
        </w:rPr>
        <w:t>qu’il</w:t>
      </w:r>
      <w:proofErr w:type="gramEnd"/>
      <w:r w:rsidRPr="00CE7754">
        <w:rPr>
          <w:rStyle w:val="normaltextrun"/>
          <w:rFonts w:ascii="Arial" w:hAnsi="Arial"/>
          <w:color w:val="000000"/>
        </w:rPr>
        <w:t xml:space="preserve"> n’est pas possible de se procurer par l’intermédiaire du Service de prêts </w:t>
      </w:r>
      <w:proofErr w:type="spellStart"/>
      <w:r w:rsidRPr="00CE7754">
        <w:rPr>
          <w:rStyle w:val="normaltextrun"/>
          <w:rFonts w:ascii="Arial" w:hAnsi="Arial"/>
          <w:color w:val="000000"/>
        </w:rPr>
        <w:t>interétablissement</w:t>
      </w:r>
      <w:proofErr w:type="spellEnd"/>
      <w:r w:rsidR="00C54242" w:rsidRPr="00CE7754">
        <w:rPr>
          <w:rStyle w:val="normaltextrun"/>
          <w:rFonts w:ascii="Arial" w:hAnsi="Arial"/>
          <w:color w:val="000000"/>
        </w:rPr>
        <w:t xml:space="preserve">. </w:t>
      </w:r>
      <w:r w:rsidRPr="00CE7754">
        <w:rPr>
          <w:rStyle w:val="normaltextrun"/>
          <w:rFonts w:ascii="Arial" w:hAnsi="Arial"/>
          <w:color w:val="000000"/>
        </w:rPr>
        <w:t xml:space="preserve">Certains de ces documents sont accessibles en ligne. </w:t>
      </w:r>
      <w:r w:rsidRPr="00CE7754">
        <w:rPr>
          <w:rFonts w:ascii="Arial" w:hAnsi="Arial"/>
          <w:color w:val="000000"/>
        </w:rPr>
        <w:t>Voici l’adresse du site Web de Bibliothèque et Archives Canada :</w:t>
      </w:r>
      <w:hyperlink r:id="rId15" w:history="1">
        <w:r w:rsidRPr="00CE7754">
          <w:rPr>
            <w:rStyle w:val="Hyperlink"/>
            <w:rFonts w:ascii="Arial" w:hAnsi="Arial"/>
          </w:rPr>
          <w:t xml:space="preserve"> www.collectionscanada.gc.ca</w:t>
        </w:r>
      </w:hyperlink>
      <w:r w:rsidR="00C54242" w:rsidRPr="00CE7754">
        <w:rPr>
          <w:rFonts w:ascii="Arial" w:hAnsi="Arial"/>
          <w:color w:val="000000"/>
        </w:rPr>
        <w:t xml:space="preserve">. </w:t>
      </w:r>
    </w:p>
    <w:p w14:paraId="3F7340A0" w14:textId="77777777" w:rsidR="00572FCD" w:rsidRPr="00CE7754" w:rsidRDefault="00572FCD" w:rsidP="00800D3C">
      <w:pPr>
        <w:pStyle w:val="paragraph"/>
        <w:spacing w:before="0" w:beforeAutospacing="0" w:after="0" w:afterAutospacing="0"/>
        <w:textAlignment w:val="baseline"/>
        <w:rPr>
          <w:rStyle w:val="normaltextrun"/>
          <w:rFonts w:ascii="Arial" w:hAnsi="Arial" w:cs="Arial"/>
          <w:color w:val="000000"/>
          <w:lang w:val="fr-FR"/>
        </w:rPr>
      </w:pPr>
    </w:p>
    <w:p w14:paraId="0FF5460C" w14:textId="4B15A1CC" w:rsidR="00074AB7" w:rsidRPr="00CE7754" w:rsidRDefault="00646D23" w:rsidP="006E610B">
      <w:pPr>
        <w:rPr>
          <w:rStyle w:val="normaltextrun"/>
          <w:rFonts w:cs="Arial"/>
          <w:color w:val="000000"/>
          <w:shd w:val="clear" w:color="auto" w:fill="FFFFFF"/>
        </w:rPr>
      </w:pPr>
      <w:bookmarkStart w:id="11" w:name="_Toc43282618"/>
      <w:r w:rsidRPr="00CE7754">
        <w:rPr>
          <w:rStyle w:val="normaltextrun"/>
          <w:color w:val="000000"/>
          <w:shd w:val="clear" w:color="auto" w:fill="FFFFFF"/>
        </w:rPr>
        <w:t>Certains docume</w:t>
      </w:r>
      <w:r w:rsidR="00C54242" w:rsidRPr="00CE7754">
        <w:rPr>
          <w:rStyle w:val="normaltextrun"/>
          <w:color w:val="000000"/>
          <w:shd w:val="clear" w:color="auto" w:fill="FFFFFF"/>
        </w:rPr>
        <w:t xml:space="preserve">nts ne sont pas sur microfilm, </w:t>
      </w:r>
      <w:r w:rsidRPr="00CE7754">
        <w:rPr>
          <w:rStyle w:val="normaltextrun"/>
          <w:color w:val="000000"/>
          <w:shd w:val="clear" w:color="auto" w:fill="FFFFFF"/>
        </w:rPr>
        <w:t>et vous devez en faire la demande avant de pouvoir venir les consulter dans notre salle de lecture. Vous pouvez aussi en obtenir une copie si vous détenez des renseignements suffisants pour les trouver et les récupérer.</w:t>
      </w:r>
    </w:p>
    <w:p w14:paraId="00E214BD" w14:textId="2A90CC2B" w:rsidR="006E610B" w:rsidRPr="00CE7754" w:rsidRDefault="00074AB7" w:rsidP="006E610B">
      <w:pPr>
        <w:rPr>
          <w:rStyle w:val="normaltextrun"/>
        </w:rPr>
      </w:pPr>
      <w:r w:rsidRPr="00CE7754">
        <w:rPr>
          <w:rStyle w:val="normaltextrun"/>
          <w:color w:val="000000"/>
          <w:shd w:val="clear" w:color="auto" w:fill="FFFFFF"/>
        </w:rPr>
        <w:t> </w:t>
      </w:r>
    </w:p>
    <w:p w14:paraId="7C424C15" w14:textId="77777777" w:rsidR="006E610B" w:rsidRPr="00CE7754" w:rsidRDefault="006E610B" w:rsidP="006E610B">
      <w:pPr>
        <w:pStyle w:val="Heading1"/>
      </w:pPr>
      <w:bookmarkStart w:id="12" w:name="_Toc105054206"/>
      <w:r w:rsidRPr="00CE7754">
        <w:rPr>
          <w:rStyle w:val="normaltextrun"/>
        </w:rPr>
        <w:lastRenderedPageBreak/>
        <w:t>Que dois-je faire pour commencer?</w:t>
      </w:r>
      <w:bookmarkEnd w:id="11"/>
      <w:bookmarkEnd w:id="12"/>
    </w:p>
    <w:p w14:paraId="32415634" w14:textId="4F5E58F6" w:rsidR="00F72234" w:rsidRPr="00CE7754" w:rsidRDefault="00F00718" w:rsidP="00F00718">
      <w:pPr>
        <w:spacing w:before="240"/>
        <w:rPr>
          <w:rStyle w:val="normaltextrun"/>
          <w:rFonts w:cs="Arial"/>
        </w:rPr>
      </w:pPr>
      <w:r w:rsidRPr="00CE7754">
        <w:rPr>
          <w:rStyle w:val="normaltextrun"/>
        </w:rPr>
        <w:t>Vous aurez besoin du nom de la personne que vous recherchez, du lieu (canton, lot, concession) de la terre en question, et de la date à laquelle la personne en est devenue propriétaire ou a commencé à l’occuper.</w:t>
      </w:r>
    </w:p>
    <w:p w14:paraId="3DD5D522" w14:textId="77777777" w:rsidR="005B2CA1" w:rsidRPr="00CE7754" w:rsidRDefault="005B2CA1" w:rsidP="00F00718">
      <w:pPr>
        <w:spacing w:before="240"/>
        <w:rPr>
          <w:rStyle w:val="normaltextrun"/>
          <w:rFonts w:cs="Arial"/>
        </w:rPr>
      </w:pPr>
    </w:p>
    <w:p w14:paraId="0F94C882" w14:textId="7E3FCC28" w:rsidR="006E610B" w:rsidRPr="00CE7754" w:rsidRDefault="006E610B" w:rsidP="006E610B">
      <w:pPr>
        <w:rPr>
          <w:rStyle w:val="normaltextrun"/>
          <w:rFonts w:cs="Arial"/>
          <w:lang w:val="fr-FR"/>
        </w:rPr>
      </w:pPr>
    </w:p>
    <w:p w14:paraId="59DCDEDE" w14:textId="77777777" w:rsidR="00F72234" w:rsidRPr="00CE7754" w:rsidRDefault="00F72234" w:rsidP="00F72234">
      <w:pPr>
        <w:pStyle w:val="Heading1"/>
        <w:rPr>
          <w:rStyle w:val="normaltextrun"/>
        </w:rPr>
      </w:pPr>
      <w:bookmarkStart w:id="13" w:name="_Toc105054207"/>
      <w:r w:rsidRPr="00CE7754">
        <w:rPr>
          <w:rStyle w:val="normaltextrun"/>
        </w:rPr>
        <w:t>LES DOCUMENTS</w:t>
      </w:r>
      <w:bookmarkEnd w:id="13"/>
    </w:p>
    <w:p w14:paraId="17031A49" w14:textId="77777777" w:rsidR="00800D3C" w:rsidRPr="00CE7754" w:rsidRDefault="00800D3C" w:rsidP="006E610B"/>
    <w:p w14:paraId="3E9DAE06" w14:textId="3A58D9F8" w:rsidR="00112C60" w:rsidRPr="00CE7754" w:rsidRDefault="00112C60" w:rsidP="005749F0">
      <w:pPr>
        <w:pStyle w:val="Heading2"/>
      </w:pPr>
      <w:bookmarkStart w:id="14" w:name="_Toc105054208"/>
      <w:r w:rsidRPr="00CE7754">
        <w:t>La documentation du processus : l’index des documents relatifs aux terres de l’Ontario et autres registres connexes</w:t>
      </w:r>
      <w:bookmarkEnd w:id="14"/>
    </w:p>
    <w:p w14:paraId="4229EEFA" w14:textId="77777777" w:rsidR="00112C60" w:rsidRPr="00CE7754" w:rsidRDefault="00112C60" w:rsidP="00112C60">
      <w:pPr>
        <w:rPr>
          <w:rFonts w:cs="Arial"/>
          <w:b/>
          <w:i/>
          <w:color w:val="000000"/>
          <w:sz w:val="22"/>
          <w:szCs w:val="22"/>
        </w:rPr>
      </w:pPr>
    </w:p>
    <w:p w14:paraId="354C7EA4" w14:textId="2D9C45A2" w:rsidR="00112C60" w:rsidRPr="00CE7754" w:rsidRDefault="00112C60" w:rsidP="00112C60">
      <w:pPr>
        <w:rPr>
          <w:rFonts w:cs="Arial"/>
        </w:rPr>
      </w:pPr>
      <w:r w:rsidRPr="00CE7754">
        <w:t>L’index des documents relatifs aux terres de l’Ontario est constitué de deux séries de microfiches (l’une pour les particuliers et l’autre pour les emplacements), et il fournit de l’information sur les colons qui ont :</w:t>
      </w:r>
    </w:p>
    <w:p w14:paraId="5F282FE4" w14:textId="77777777" w:rsidR="00EF28BA" w:rsidRPr="00CE7754" w:rsidRDefault="00EF28BA" w:rsidP="00112C60">
      <w:pPr>
        <w:rPr>
          <w:rFonts w:cs="Arial"/>
          <w:b/>
        </w:rPr>
      </w:pPr>
    </w:p>
    <w:p w14:paraId="52A3173E" w14:textId="77777777" w:rsidR="00112C60" w:rsidRPr="00CE7754" w:rsidRDefault="00112C60" w:rsidP="004E0EA2">
      <w:pPr>
        <w:numPr>
          <w:ilvl w:val="0"/>
          <w:numId w:val="6"/>
        </w:numPr>
        <w:rPr>
          <w:rFonts w:cs="Arial"/>
        </w:rPr>
      </w:pPr>
      <w:proofErr w:type="gramStart"/>
      <w:r w:rsidRPr="00CE7754">
        <w:t>participé</w:t>
      </w:r>
      <w:proofErr w:type="gramEnd"/>
      <w:r w:rsidRPr="00CE7754">
        <w:t xml:space="preserve"> au processus menant à l’octroi ou à l’achat de terres de la Couronne;</w:t>
      </w:r>
    </w:p>
    <w:p w14:paraId="55BF922B" w14:textId="77777777" w:rsidR="00112C60" w:rsidRPr="00CE7754" w:rsidRDefault="00112C60" w:rsidP="004E0EA2">
      <w:pPr>
        <w:numPr>
          <w:ilvl w:val="0"/>
          <w:numId w:val="6"/>
        </w:numPr>
        <w:rPr>
          <w:rFonts w:cs="Arial"/>
        </w:rPr>
      </w:pPr>
      <w:proofErr w:type="gramStart"/>
      <w:r w:rsidRPr="00CE7754">
        <w:t>loué</w:t>
      </w:r>
      <w:proofErr w:type="gramEnd"/>
      <w:r w:rsidRPr="00CE7754">
        <w:t xml:space="preserve"> ou acheté des terres de la société Canada </w:t>
      </w:r>
      <w:proofErr w:type="spellStart"/>
      <w:r w:rsidRPr="00CE7754">
        <w:t>Company</w:t>
      </w:r>
      <w:proofErr w:type="spellEnd"/>
      <w:r w:rsidRPr="00CE7754">
        <w:t xml:space="preserve"> (une entreprise basée à Londres, en Angleterre, qui a reçu, puis vendu, plus d’un demi-million d’acres de terres, principalement dans le comté de Huron et alentour);</w:t>
      </w:r>
    </w:p>
    <w:p w14:paraId="315763FF" w14:textId="00468C43" w:rsidR="00112C60" w:rsidRPr="00CE7754" w:rsidRDefault="00112C60" w:rsidP="004E0EA2">
      <w:pPr>
        <w:numPr>
          <w:ilvl w:val="0"/>
          <w:numId w:val="6"/>
        </w:numPr>
        <w:rPr>
          <w:rFonts w:cs="Arial"/>
        </w:rPr>
      </w:pPr>
      <w:proofErr w:type="gramStart"/>
      <w:r w:rsidRPr="00CE7754">
        <w:t>colonisé</w:t>
      </w:r>
      <w:proofErr w:type="gramEnd"/>
      <w:r w:rsidRPr="00CE7754">
        <w:t xml:space="preserve"> la région de Peterborough à l’instigation de Peter Robinson, homme politique qui a activement contribué à l’afflux d’émigrants irlandais vers le Haut-Canada (la ville de Peterborough a été nommée en son honneur);</w:t>
      </w:r>
    </w:p>
    <w:p w14:paraId="3FC3DC37" w14:textId="5F33900C" w:rsidR="007E54EF" w:rsidRPr="00CE7754" w:rsidRDefault="007E54EF" w:rsidP="004E0EA2">
      <w:pPr>
        <w:numPr>
          <w:ilvl w:val="0"/>
          <w:numId w:val="6"/>
        </w:numPr>
        <w:rPr>
          <w:rFonts w:cs="Arial"/>
        </w:rPr>
      </w:pPr>
      <w:proofErr w:type="gramStart"/>
      <w:r w:rsidRPr="00CE7754">
        <w:t>reçu</w:t>
      </w:r>
      <w:proofErr w:type="gramEnd"/>
      <w:r w:rsidRPr="00CE7754">
        <w:t xml:space="preserve"> une terre après 1901 en retour de leur service offert durant l’invasion des </w:t>
      </w:r>
      <w:proofErr w:type="spellStart"/>
      <w:r w:rsidRPr="00CE7754">
        <w:t>féniens</w:t>
      </w:r>
      <w:proofErr w:type="spellEnd"/>
      <w:r w:rsidRPr="00CE7754">
        <w:t> (1860) ou durant la guerre des Boers (1899 à 1902).</w:t>
      </w:r>
    </w:p>
    <w:p w14:paraId="00A40874" w14:textId="77777777" w:rsidR="00112C60" w:rsidRPr="00CE7754" w:rsidRDefault="00112C60" w:rsidP="00112C60">
      <w:pPr>
        <w:rPr>
          <w:rFonts w:cs="Arial"/>
        </w:rPr>
      </w:pPr>
    </w:p>
    <w:p w14:paraId="6662716C" w14:textId="77777777" w:rsidR="00D0013C" w:rsidRPr="00CE7754" w:rsidRDefault="00112C60" w:rsidP="00112C60">
      <w:pPr>
        <w:rPr>
          <w:rFonts w:cs="Arial"/>
        </w:rPr>
      </w:pPr>
      <w:r w:rsidRPr="00CE7754">
        <w:t>Les données sur un colon qui figurent dans l’index concernent la période de 1780 à 1920. Elles comprennent son nom, un canton, le lot et la concession, le type de transaction qui a eu lieu et un renvoi à un document d’origine. Les dossiers relatifs aux terres de la Couronne qui figurent dans l’index des documents relatifs aux terres de l’Ontario (</w:t>
      </w:r>
      <w:r w:rsidRPr="00CE7754">
        <w:rPr>
          <w:i/>
          <w:iCs/>
        </w:rPr>
        <w:t>Ontario Land Records Index</w:t>
      </w:r>
      <w:r w:rsidRPr="00CE7754">
        <w:t>) ont été, pour la plupart, créés au moment de la vente ou de l’octroi des terres.</w:t>
      </w:r>
    </w:p>
    <w:p w14:paraId="28BFCDFE" w14:textId="77777777" w:rsidR="00D0013C" w:rsidRPr="00CE7754" w:rsidRDefault="00D0013C" w:rsidP="00112C60">
      <w:pPr>
        <w:rPr>
          <w:rFonts w:cs="Arial"/>
        </w:rPr>
      </w:pPr>
    </w:p>
    <w:p w14:paraId="2FE50350" w14:textId="0F24B5BB" w:rsidR="00112C60" w:rsidRPr="00CE7754" w:rsidRDefault="00D0013C" w:rsidP="00112C60">
      <w:pPr>
        <w:rPr>
          <w:rFonts w:cs="Arial"/>
        </w:rPr>
      </w:pPr>
      <w:r w:rsidRPr="00CE7754">
        <w:t>Les documents dans l’OLRI comprennent ce qui suit :</w:t>
      </w:r>
    </w:p>
    <w:p w14:paraId="7FBCDE3D" w14:textId="77777777" w:rsidR="00112C60" w:rsidRPr="00CE7754" w:rsidRDefault="00112C60" w:rsidP="004E0EA2">
      <w:pPr>
        <w:numPr>
          <w:ilvl w:val="0"/>
          <w:numId w:val="7"/>
        </w:numPr>
        <w:rPr>
          <w:rFonts w:cs="Arial"/>
        </w:rPr>
      </w:pPr>
      <w:proofErr w:type="gramStart"/>
      <w:r w:rsidRPr="00CE7754">
        <w:t>rôle</w:t>
      </w:r>
      <w:proofErr w:type="gramEnd"/>
      <w:r w:rsidRPr="00CE7754">
        <w:t xml:space="preserve"> foncier et annexes (listes des terres cédées);</w:t>
      </w:r>
    </w:p>
    <w:p w14:paraId="0BA6CF20" w14:textId="5829F35A" w:rsidR="00112C60" w:rsidRPr="00CE7754" w:rsidRDefault="00112C60" w:rsidP="004E0EA2">
      <w:pPr>
        <w:numPr>
          <w:ilvl w:val="0"/>
          <w:numId w:val="7"/>
        </w:numPr>
        <w:rPr>
          <w:rFonts w:cs="Arial"/>
        </w:rPr>
      </w:pPr>
      <w:proofErr w:type="gramStart"/>
      <w:r w:rsidRPr="00CE7754">
        <w:t>registres</w:t>
      </w:r>
      <w:proofErr w:type="gramEnd"/>
      <w:r w:rsidRPr="00CE7754">
        <w:t xml:space="preserve"> des autorisations, ordres et mandats (documents administratifs adressés à des bureaux gouvernementaux pour faire aboutir des concessions de terres);</w:t>
      </w:r>
    </w:p>
    <w:p w14:paraId="1964AB5C" w14:textId="11A2E2B9" w:rsidR="00112C60" w:rsidRPr="00CE7754" w:rsidRDefault="00112C60" w:rsidP="004E0EA2">
      <w:pPr>
        <w:numPr>
          <w:ilvl w:val="0"/>
          <w:numId w:val="7"/>
        </w:numPr>
        <w:rPr>
          <w:rFonts w:cs="Arial"/>
        </w:rPr>
      </w:pPr>
      <w:proofErr w:type="gramStart"/>
      <w:r w:rsidRPr="00CE7754">
        <w:t>registres</w:t>
      </w:r>
      <w:proofErr w:type="gramEnd"/>
      <w:r w:rsidRPr="00CE7754">
        <w:t xml:space="preserve"> des billets et certificats d’attribution et des actes de cession (documents délivrés aux particuliers pour confirmer la concession et la terre qui a été cédée);</w:t>
      </w:r>
    </w:p>
    <w:p w14:paraId="460EACC2" w14:textId="77777777" w:rsidR="00112C60" w:rsidRPr="00CE7754" w:rsidRDefault="00112C60" w:rsidP="004E0EA2">
      <w:pPr>
        <w:numPr>
          <w:ilvl w:val="0"/>
          <w:numId w:val="7"/>
        </w:numPr>
        <w:rPr>
          <w:rFonts w:cs="Arial"/>
        </w:rPr>
      </w:pPr>
      <w:proofErr w:type="gramStart"/>
      <w:r w:rsidRPr="00CE7754">
        <w:t>descriptions</w:t>
      </w:r>
      <w:proofErr w:type="gramEnd"/>
      <w:r w:rsidRPr="00CE7754">
        <w:t xml:space="preserve"> des terres cédées;</w:t>
      </w:r>
    </w:p>
    <w:p w14:paraId="3C065B21" w14:textId="77777777" w:rsidR="00112C60" w:rsidRPr="00CE7754" w:rsidRDefault="00112C60" w:rsidP="004E0EA2">
      <w:pPr>
        <w:numPr>
          <w:ilvl w:val="0"/>
          <w:numId w:val="7"/>
        </w:numPr>
        <w:rPr>
          <w:rFonts w:cs="Arial"/>
        </w:rPr>
      </w:pPr>
      <w:proofErr w:type="gramStart"/>
      <w:r w:rsidRPr="00CE7754">
        <w:t>registres</w:t>
      </w:r>
      <w:proofErr w:type="gramEnd"/>
      <w:r w:rsidRPr="00CE7754">
        <w:t xml:space="preserve"> de baux et de contrats de vente.</w:t>
      </w:r>
    </w:p>
    <w:p w14:paraId="5AE2D3DC" w14:textId="320C5C1C" w:rsidR="00112C60" w:rsidRPr="00CE7754" w:rsidRDefault="00112C60" w:rsidP="00112C60">
      <w:pPr>
        <w:rPr>
          <w:rFonts w:cs="Arial"/>
        </w:rPr>
      </w:pPr>
    </w:p>
    <w:p w14:paraId="1F366B93" w14:textId="589A9804" w:rsidR="00C75F71" w:rsidRPr="00CE7754" w:rsidRDefault="0092280F" w:rsidP="00112C60">
      <w:pPr>
        <w:rPr>
          <w:rFonts w:cs="Arial"/>
        </w:rPr>
      </w:pPr>
      <w:r w:rsidRPr="00CE7754">
        <w:lastRenderedPageBreak/>
        <w:t>Vous pouvez consulter l’index des documents relatifs aux terres de l’Ontario dans notre salle de lecture</w:t>
      </w:r>
      <w:r w:rsidR="00C54242" w:rsidRPr="00CE7754">
        <w:t xml:space="preserve">. </w:t>
      </w:r>
      <w:r w:rsidRPr="00CE7754">
        <w:t>Les documents indexés sont sur microfilm, aussi disponibles dans notre salle de lecture</w:t>
      </w:r>
      <w:r w:rsidR="00C54242" w:rsidRPr="00CE7754">
        <w:t xml:space="preserve">. </w:t>
      </w:r>
      <w:r w:rsidRPr="00CE7754">
        <w:t xml:space="preserve">Les bibliothèques locales qui offrent un service de prêts </w:t>
      </w:r>
      <w:proofErr w:type="spellStart"/>
      <w:r w:rsidRPr="00CE7754">
        <w:t>interétablissements</w:t>
      </w:r>
      <w:proofErr w:type="spellEnd"/>
      <w:r w:rsidRPr="00CE7754">
        <w:t xml:space="preserve"> peuvent également emprunter une microfiche et bon nombre de bobines de microfilm pour vous.</w:t>
      </w:r>
    </w:p>
    <w:p w14:paraId="5DE23826" w14:textId="4A90FE3E" w:rsidR="005459E0" w:rsidRPr="00CE7754" w:rsidRDefault="005459E0" w:rsidP="00112C60">
      <w:pPr>
        <w:rPr>
          <w:rFonts w:cs="Arial"/>
        </w:rPr>
      </w:pPr>
    </w:p>
    <w:p w14:paraId="4E524952" w14:textId="0BAB96A5" w:rsidR="00BE472B" w:rsidRPr="00CE7754" w:rsidRDefault="00967DD6" w:rsidP="00112C60">
      <w:pPr>
        <w:rPr>
          <w:rFonts w:cs="Arial"/>
        </w:rPr>
      </w:pPr>
      <w:hyperlink r:id="rId16" w:history="1">
        <w:r w:rsidR="007111B4" w:rsidRPr="00CE7754">
          <w:rPr>
            <w:rStyle w:val="Hyperlink"/>
          </w:rPr>
          <w:t>Cliquez ici pour consulter le guide 205 sur l’index des documents relatifs aux terres de l’Ontario</w:t>
        </w:r>
      </w:hyperlink>
      <w:r w:rsidR="007111B4" w:rsidRPr="00CE7754">
        <w:t xml:space="preserve"> pour savoir comment s’en servir et trouver le bon microfilm</w:t>
      </w:r>
      <w:r w:rsidR="00C54242" w:rsidRPr="00CE7754">
        <w:t xml:space="preserve">. </w:t>
      </w:r>
      <w:r w:rsidR="007111B4" w:rsidRPr="00CE7754">
        <w:t>Vous trouverez ce guide et d’autres guides de recherche à la page « Guides et outils de recherche », sous la rubrique « Accédez à nos collections ».</w:t>
      </w:r>
    </w:p>
    <w:p w14:paraId="25B9F6B0" w14:textId="6A39954D" w:rsidR="00B24F8B" w:rsidRPr="00CE7754" w:rsidRDefault="00B24F8B" w:rsidP="00F206B5">
      <w:pPr>
        <w:rPr>
          <w:rFonts w:cs="Arial"/>
        </w:rPr>
      </w:pPr>
    </w:p>
    <w:p w14:paraId="216671B4" w14:textId="69F5C345" w:rsidR="00E92E5D" w:rsidRPr="00CE7754" w:rsidRDefault="004D6350" w:rsidP="00E92E5D">
      <w:pPr>
        <w:pStyle w:val="Heading2"/>
      </w:pPr>
      <w:bookmarkStart w:id="15" w:name="_Toc105054209"/>
      <w:r w:rsidRPr="00CE7754">
        <w:t>Arpentage des terres</w:t>
      </w:r>
      <w:bookmarkEnd w:id="15"/>
    </w:p>
    <w:p w14:paraId="7224C4BA" w14:textId="77777777" w:rsidR="00E92E5D" w:rsidRPr="00CE7754" w:rsidRDefault="00E92E5D" w:rsidP="00E92E5D">
      <w:pPr>
        <w:rPr>
          <w:rFonts w:cs="Arial"/>
          <w:b/>
          <w:i/>
          <w:color w:val="000000"/>
        </w:rPr>
      </w:pPr>
    </w:p>
    <w:p w14:paraId="480F2D41" w14:textId="299DF5B8" w:rsidR="00DD4491" w:rsidRPr="00CE7754" w:rsidRDefault="004D6350" w:rsidP="0018331A">
      <w:pPr>
        <w:rPr>
          <w:rFonts w:cs="Arial"/>
        </w:rPr>
      </w:pPr>
      <w:r w:rsidRPr="00CE7754">
        <w:t>Après la signature d’un traité avec les peuples autochtones, le Bureau de l’arpenteur général a arpenté les terres et les a divisées en cantons</w:t>
      </w:r>
      <w:r w:rsidR="00C54242" w:rsidRPr="00CE7754">
        <w:t xml:space="preserve">. </w:t>
      </w:r>
      <w:r w:rsidRPr="00CE7754">
        <w:t>Chaque canton était ensuite divisé en concessions et en lots</w:t>
      </w:r>
      <w:r w:rsidR="00C54242" w:rsidRPr="00CE7754">
        <w:t xml:space="preserve">. </w:t>
      </w:r>
      <w:r w:rsidRPr="00CE7754">
        <w:t>La taille normale d’un lot était de 200 acres (environ 0,8 km</w:t>
      </w:r>
      <w:r w:rsidRPr="00CE7754">
        <w:rPr>
          <w:vertAlign w:val="superscript"/>
        </w:rPr>
        <w:t>2</w:t>
      </w:r>
      <w:r w:rsidRPr="00CE7754">
        <w:t>)</w:t>
      </w:r>
      <w:r w:rsidR="00C54242" w:rsidRPr="00CE7754">
        <w:t xml:space="preserve">. </w:t>
      </w:r>
    </w:p>
    <w:p w14:paraId="287E7CB4" w14:textId="77777777" w:rsidR="00DD4491" w:rsidRPr="00CE7754" w:rsidRDefault="00DD4491" w:rsidP="0018331A">
      <w:pPr>
        <w:rPr>
          <w:rFonts w:cs="Arial"/>
        </w:rPr>
      </w:pPr>
    </w:p>
    <w:p w14:paraId="45626BD3" w14:textId="28A4DB50" w:rsidR="00120BD2" w:rsidRPr="00CE7754" w:rsidRDefault="00120BD2" w:rsidP="00120BD2">
      <w:pPr>
        <w:rPr>
          <w:szCs w:val="20"/>
        </w:rPr>
      </w:pPr>
      <w:r w:rsidRPr="00CE7754">
        <w:t>Les arpenteurs des terres de la Couronne avaient ordre de tenir un journal et un cahier de notes sur le terrain où ils consignaient par écrit une description de la couverture végétale, de la topographie et du type de sol, avec des remarques sur l’utilité de la terre pour l’agriculture</w:t>
      </w:r>
      <w:r w:rsidR="00C54242" w:rsidRPr="00CE7754">
        <w:t xml:space="preserve">. </w:t>
      </w:r>
      <w:r w:rsidRPr="00CE7754">
        <w:t>Nous disposons de la plupart des premiers journaux, notes sur le terrain et rapports</w:t>
      </w:r>
      <w:r w:rsidR="00C54242" w:rsidRPr="00CE7754">
        <w:t xml:space="preserve">. </w:t>
      </w:r>
      <w:r w:rsidRPr="00CE7754">
        <w:t xml:space="preserve">Pour obtenir plus de renseignements sur ces documents et sur la façon d’y accéder, </w:t>
      </w:r>
      <w:hyperlink r:id="rId17" w:history="1">
        <w:r w:rsidRPr="00CE7754">
          <w:rPr>
            <w:rStyle w:val="Hyperlink"/>
          </w:rPr>
          <w:t>consultez la description de la série RG 1-59</w:t>
        </w:r>
      </w:hyperlink>
      <w:r w:rsidRPr="00CE7754">
        <w:t xml:space="preserve"> (en anglais). Le ministère des Richesses naturelles et des Forêts possède d’autres journaux, notes sur le terrain et documents d’arpentage, y compris des documents récents</w:t>
      </w:r>
      <w:r w:rsidR="00C54242" w:rsidRPr="00CE7754">
        <w:t xml:space="preserve">. </w:t>
      </w:r>
      <w:r w:rsidRPr="00CE7754">
        <w:t xml:space="preserve">Pour de plus amples renseignements, rendez-vous sur le site Web du Bureau de l’arpenteur général, </w:t>
      </w:r>
      <w:hyperlink r:id="rId18" w:history="1">
        <w:r w:rsidRPr="00CE7754">
          <w:rPr>
            <w:rStyle w:val="Hyperlink"/>
          </w:rPr>
          <w:t>https://www.ontario.ca/fr/page/bureau-de-larpenteur-general</w:t>
        </w:r>
      </w:hyperlink>
    </w:p>
    <w:p w14:paraId="6BCF485A" w14:textId="77777777" w:rsidR="00120BD2" w:rsidRPr="00CE7754" w:rsidRDefault="00120BD2" w:rsidP="00120BD2">
      <w:pPr>
        <w:rPr>
          <w:sz w:val="22"/>
        </w:rPr>
      </w:pPr>
    </w:p>
    <w:p w14:paraId="566F3599" w14:textId="506E8DC1" w:rsidR="00DD4491" w:rsidRPr="00CE7754" w:rsidRDefault="00120BD2" w:rsidP="0018331A">
      <w:pPr>
        <w:rPr>
          <w:rFonts w:cs="Arial"/>
        </w:rPr>
      </w:pPr>
      <w:r w:rsidRPr="00CE7754">
        <w:t>Nous conservons également les instructions du Bureau de l’arpenteur général aux arpenteurs</w:t>
      </w:r>
      <w:r w:rsidR="00C54242" w:rsidRPr="00CE7754">
        <w:t xml:space="preserve">. </w:t>
      </w:r>
      <w:r w:rsidRPr="00CE7754">
        <w:t>Vous ne pouvez les consulter que sur la bobine MS 30 dans notre salle de lecture.</w:t>
      </w:r>
    </w:p>
    <w:p w14:paraId="4138C556" w14:textId="77777777" w:rsidR="00E92E5D" w:rsidRPr="00CE7754" w:rsidRDefault="00E92E5D" w:rsidP="00E92E5D">
      <w:pPr>
        <w:rPr>
          <w:rFonts w:cs="Arial"/>
        </w:rPr>
      </w:pPr>
    </w:p>
    <w:p w14:paraId="741A0CDE" w14:textId="6939CD03" w:rsidR="0071125B" w:rsidRPr="00CE7754" w:rsidRDefault="00D0013C" w:rsidP="009F3710">
      <w:pPr>
        <w:pStyle w:val="Heading2"/>
      </w:pPr>
      <w:bookmarkStart w:id="16" w:name="_Schools_and_Teachers"/>
      <w:bookmarkStart w:id="17" w:name="_Toc105054210"/>
      <w:bookmarkEnd w:id="16"/>
      <w:r w:rsidRPr="00CE7754">
        <w:t>Documents relatifs aux terres de la Couronne</w:t>
      </w:r>
      <w:bookmarkEnd w:id="17"/>
    </w:p>
    <w:p w14:paraId="2A2C8815" w14:textId="5A233B8F" w:rsidR="00097A93" w:rsidRPr="00CE7754" w:rsidRDefault="00097A93" w:rsidP="00097A93"/>
    <w:p w14:paraId="701B5064" w14:textId="25451F85" w:rsidR="00D0013C" w:rsidRPr="00CE7754" w:rsidRDefault="00D0013C" w:rsidP="00097A93">
      <w:pPr>
        <w:rPr>
          <w:rFonts w:cs="Arial"/>
        </w:rPr>
      </w:pPr>
      <w:r w:rsidRPr="00CE7754">
        <w:t>Après la signature d’un traité avec les peuples autochtones, les terres qui avaient été transférées sont demeurées des terres de la Couronne</w:t>
      </w:r>
      <w:r w:rsidR="00C54242" w:rsidRPr="00CE7754">
        <w:t xml:space="preserve">. </w:t>
      </w:r>
      <w:r w:rsidRPr="00CE7754">
        <w:t>Le commissaire des terres de la Couronne (qui deviendra plus tard le ministère des Terres et des Forêts) en assurait la gestion et octroyait ou vendait des terres à des particuliers ou à des sociétés.</w:t>
      </w:r>
    </w:p>
    <w:p w14:paraId="74E32437" w14:textId="237890D9" w:rsidR="00C210B2" w:rsidRDefault="00D0013C" w:rsidP="00D0013C">
      <w:pPr>
        <w:spacing w:before="240"/>
        <w:rPr>
          <w:rStyle w:val="eop"/>
        </w:rPr>
      </w:pPr>
      <w:r w:rsidRPr="00CE7754">
        <w:rPr>
          <w:rStyle w:val="eop"/>
        </w:rPr>
        <w:t xml:space="preserve">Au tout début, la Couronne transférait une terre à un particulier en la lui cédant, puis, après 1820, en la lui vendant, la plupart du temps. Toutefois, il arrivait qu’une concession soit offerte à une personne dite indigente et, par la suite, aux vétérans de l’invasion des </w:t>
      </w:r>
      <w:proofErr w:type="spellStart"/>
      <w:r w:rsidRPr="00CE7754">
        <w:rPr>
          <w:rStyle w:val="eop"/>
        </w:rPr>
        <w:t>féniens</w:t>
      </w:r>
      <w:proofErr w:type="spellEnd"/>
      <w:r w:rsidRPr="00CE7754">
        <w:rPr>
          <w:rStyle w:val="eop"/>
        </w:rPr>
        <w:t xml:space="preserve"> et de la guerre des Boers. </w:t>
      </w:r>
    </w:p>
    <w:p w14:paraId="0864F0DA" w14:textId="77777777" w:rsidR="00D0013C" w:rsidRPr="00CE7754" w:rsidRDefault="00C210B2" w:rsidP="00D0013C">
      <w:pPr>
        <w:spacing w:before="240"/>
        <w:rPr>
          <w:rStyle w:val="eop"/>
          <w:rFonts w:cs="Arial"/>
        </w:rPr>
      </w:pPr>
      <w:r>
        <w:rPr>
          <w:rStyle w:val="eop"/>
        </w:rPr>
        <w:br w:type="column"/>
      </w:r>
    </w:p>
    <w:p w14:paraId="48F157E1" w14:textId="77777777" w:rsidR="00D0013C" w:rsidRPr="00CE7754" w:rsidRDefault="00D0013C" w:rsidP="00D0013C">
      <w:pPr>
        <w:spacing w:before="240"/>
        <w:rPr>
          <w:rStyle w:val="eop"/>
          <w:rFonts w:cs="Arial"/>
        </w:rPr>
      </w:pPr>
      <w:r w:rsidRPr="00CE7754">
        <w:rPr>
          <w:rStyle w:val="eop"/>
        </w:rPr>
        <w:t>La concession de terres se faisait selon le processus suivant :</w:t>
      </w:r>
    </w:p>
    <w:p w14:paraId="6DC51CFD" w14:textId="77777777" w:rsidR="00D0013C" w:rsidRPr="00CE7754" w:rsidRDefault="00D0013C" w:rsidP="00D0013C">
      <w:pPr>
        <w:pStyle w:val="ListParagraph"/>
        <w:numPr>
          <w:ilvl w:val="0"/>
          <w:numId w:val="35"/>
        </w:numPr>
        <w:spacing w:before="240"/>
        <w:ind w:left="450" w:hanging="450"/>
        <w:rPr>
          <w:rFonts w:cs="Arial"/>
          <w:color w:val="000000"/>
          <w:szCs w:val="22"/>
        </w:rPr>
      </w:pPr>
      <w:r w:rsidRPr="00CE7754">
        <w:rPr>
          <w:color w:val="000000"/>
        </w:rPr>
        <w:t xml:space="preserve">Un particulier qui souhaitait recevoir une terre présentait une demande de terre au Conseil exécutif ou au ministère des Terres de la Couronne (au début, un comité local de gestion des terres pouvait aussi entrer en jeu). </w:t>
      </w:r>
    </w:p>
    <w:p w14:paraId="3DF61656" w14:textId="77777777" w:rsidR="00D0013C" w:rsidRPr="00CE7754" w:rsidRDefault="00D0013C" w:rsidP="00D0013C">
      <w:pPr>
        <w:pStyle w:val="ListParagraph"/>
        <w:spacing w:before="240"/>
        <w:ind w:left="450" w:hanging="450"/>
        <w:rPr>
          <w:rFonts w:cs="Arial"/>
          <w:color w:val="000000"/>
          <w:szCs w:val="22"/>
        </w:rPr>
      </w:pPr>
    </w:p>
    <w:p w14:paraId="24C3C7F9" w14:textId="3E022428" w:rsidR="00D0013C" w:rsidRPr="00CE7754" w:rsidRDefault="00D0013C" w:rsidP="00D0013C">
      <w:pPr>
        <w:pStyle w:val="ListParagraph"/>
        <w:numPr>
          <w:ilvl w:val="0"/>
          <w:numId w:val="35"/>
        </w:numPr>
        <w:spacing w:before="240"/>
        <w:ind w:left="450" w:hanging="450"/>
        <w:rPr>
          <w:rFonts w:cs="Arial"/>
          <w:color w:val="000000"/>
          <w:szCs w:val="22"/>
        </w:rPr>
      </w:pPr>
      <w:r w:rsidRPr="00CE7754">
        <w:rPr>
          <w:color w:val="000000"/>
        </w:rPr>
        <w:t>Si la demande de terres était acceptée, un décret octroyant une terre était émis, et le demandeur recevait un billet d’attribution ou un certificat de localisation indiquant le canton, la concession et le lot</w:t>
      </w:r>
      <w:r w:rsidR="00C54242" w:rsidRPr="00CE7754">
        <w:rPr>
          <w:color w:val="000000"/>
        </w:rPr>
        <w:t xml:space="preserve">. </w:t>
      </w:r>
    </w:p>
    <w:p w14:paraId="05DB5010" w14:textId="577E67C6" w:rsidR="00D0013C" w:rsidRPr="00CE7754" w:rsidRDefault="00D0013C" w:rsidP="00D0013C">
      <w:pPr>
        <w:spacing w:before="240"/>
        <w:ind w:left="450"/>
        <w:rPr>
          <w:rFonts w:cs="Arial"/>
          <w:color w:val="000000"/>
          <w:szCs w:val="22"/>
        </w:rPr>
      </w:pPr>
      <w:r w:rsidRPr="00CE7754">
        <w:rPr>
          <w:color w:val="000000"/>
        </w:rPr>
        <w:t xml:space="preserve">Différents bureaux et ministères du gouvernement (p. ex. Conseil exécutif, arpenteur général, commissaire des terres de la Couronne, procureur général, Secrétariat de la province) pouvaient alors délivrer les documents confirmant la parcelle qui était cédée. </w:t>
      </w:r>
    </w:p>
    <w:p w14:paraId="499B168E" w14:textId="297F8C68" w:rsidR="00D0013C" w:rsidRPr="00CE7754" w:rsidRDefault="00D0013C" w:rsidP="00D0013C">
      <w:pPr>
        <w:spacing w:before="240"/>
        <w:ind w:left="450"/>
        <w:rPr>
          <w:rFonts w:cs="Arial"/>
          <w:color w:val="000000"/>
          <w:szCs w:val="22"/>
        </w:rPr>
      </w:pPr>
      <w:r w:rsidRPr="00CE7754">
        <w:rPr>
          <w:color w:val="000000"/>
        </w:rPr>
        <w:t>Un particulier qui recevait une concession n’en devenait pas nécessairement le propriétaire.</w:t>
      </w:r>
      <w:r w:rsidR="00C54242" w:rsidRPr="00CE7754">
        <w:rPr>
          <w:color w:val="000000"/>
        </w:rPr>
        <w:t xml:space="preserve"> </w:t>
      </w:r>
      <w:r w:rsidRPr="00CE7754">
        <w:rPr>
          <w:color w:val="000000"/>
        </w:rPr>
        <w:t>En effet, il devait payer des droits administratifs et répondre à certaines exigences</w:t>
      </w:r>
      <w:r w:rsidR="00C54242" w:rsidRPr="00CE7754">
        <w:rPr>
          <w:color w:val="000000"/>
        </w:rPr>
        <w:t xml:space="preserve">. </w:t>
      </w:r>
      <w:r w:rsidRPr="00CE7754">
        <w:rPr>
          <w:color w:val="000000"/>
        </w:rPr>
        <w:t>Les droits et les exigences ont évolué au fil du temps, et certains groupes</w:t>
      </w:r>
      <w:r w:rsidR="00C54242" w:rsidRPr="00CE7754">
        <w:rPr>
          <w:color w:val="000000"/>
        </w:rPr>
        <w:t xml:space="preserve"> </w:t>
      </w:r>
      <w:r w:rsidRPr="00CE7754">
        <w:rPr>
          <w:color w:val="000000"/>
        </w:rPr>
        <w:t>(comme les Loyalistes et leurs familles et d’anciens combattants de l’armée et de la milice) ont bénéficié d’une exemption de ces droits. Un concessionnaire avait aussi la possibilité de céder ses droits, par vente ou transfert</w:t>
      </w:r>
      <w:r w:rsidR="00C54242" w:rsidRPr="00CE7754">
        <w:rPr>
          <w:color w:val="000000"/>
        </w:rPr>
        <w:t xml:space="preserve">. </w:t>
      </w:r>
    </w:p>
    <w:p w14:paraId="5DBD2DE2" w14:textId="77777777" w:rsidR="00D0013C" w:rsidRPr="00CE7754" w:rsidRDefault="00D0013C" w:rsidP="00D0013C">
      <w:pPr>
        <w:pStyle w:val="ListParagraph"/>
        <w:numPr>
          <w:ilvl w:val="0"/>
          <w:numId w:val="35"/>
        </w:numPr>
        <w:spacing w:before="240"/>
        <w:ind w:left="450" w:hanging="450"/>
        <w:rPr>
          <w:rFonts w:cs="Arial"/>
          <w:color w:val="000000"/>
          <w:szCs w:val="22"/>
        </w:rPr>
      </w:pPr>
      <w:r w:rsidRPr="00CE7754">
        <w:rPr>
          <w:color w:val="000000"/>
        </w:rPr>
        <w:t>Une fois les exigences satisfaites, la Couronne délivrait une lettre patente confirmant le transfert de propriété.</w:t>
      </w:r>
    </w:p>
    <w:p w14:paraId="3D96314F" w14:textId="77777777" w:rsidR="00D0013C" w:rsidRPr="00CE7754" w:rsidRDefault="00D0013C" w:rsidP="00D0013C">
      <w:pPr>
        <w:spacing w:before="240"/>
        <w:rPr>
          <w:rFonts w:cs="Arial"/>
          <w:color w:val="000000"/>
          <w:szCs w:val="22"/>
        </w:rPr>
      </w:pPr>
      <w:r w:rsidRPr="00CE7754">
        <w:rPr>
          <w:color w:val="000000"/>
        </w:rPr>
        <w:t>Voici le résumé du processus de concession :</w:t>
      </w:r>
    </w:p>
    <w:p w14:paraId="45EE875B" w14:textId="73005525" w:rsidR="00D0013C" w:rsidRPr="00CE7754" w:rsidRDefault="00D0013C" w:rsidP="00D0013C">
      <w:pPr>
        <w:rPr>
          <w:rFonts w:cs="Arial"/>
        </w:rPr>
      </w:pPr>
      <w:r w:rsidRPr="00CE7754">
        <w:t>1.</w:t>
      </w:r>
      <w:r w:rsidRPr="00CE7754">
        <w:rPr>
          <w:b/>
        </w:rPr>
        <w:t xml:space="preserve"> </w:t>
      </w:r>
      <w:r w:rsidRPr="00CE7754">
        <w:rPr>
          <w:rStyle w:val="Emphasis"/>
          <w:b/>
        </w:rPr>
        <w:t>Demande</w:t>
      </w:r>
      <w:r w:rsidRPr="00CE7754">
        <w:rPr>
          <w:b/>
        </w:rPr>
        <w:t xml:space="preserve"> </w:t>
      </w:r>
      <w:r w:rsidRPr="00CE7754">
        <w:t xml:space="preserve">(le colon demande une terre) </w:t>
      </w:r>
      <w:r w:rsidR="00C54242" w:rsidRPr="00CE7754">
        <w:rPr>
          <w:rFonts w:cs="Arial"/>
        </w:rPr>
        <w:t>[</w:t>
      </w:r>
      <w:r w:rsidRPr="00CE7754">
        <w:t>demande approuvée</w:t>
      </w:r>
      <w:r w:rsidR="00C54242" w:rsidRPr="00CE7754">
        <w:rPr>
          <w:rFonts w:cs="Arial"/>
        </w:rPr>
        <w:t>]</w:t>
      </w:r>
      <w:r w:rsidR="00C54242" w:rsidRPr="00CE7754">
        <w:t xml:space="preserve">. </w:t>
      </w:r>
      <w:r w:rsidR="00C54242" w:rsidRPr="00CE7754">
        <w:rPr>
          <w:b/>
          <w:sz w:val="28"/>
        </w:rPr>
        <w:t>→</w:t>
      </w:r>
      <w:r w:rsidRPr="00CE7754">
        <w:t xml:space="preserve"> 2. Terre </w:t>
      </w:r>
      <w:r w:rsidRPr="00CE7754">
        <w:rPr>
          <w:rStyle w:val="Emphasis"/>
          <w:b/>
        </w:rPr>
        <w:t xml:space="preserve">cédée </w:t>
      </w:r>
      <w:r w:rsidR="00C54242" w:rsidRPr="00CE7754">
        <w:t>au </w:t>
      </w:r>
      <w:r w:rsidRPr="00CE7754">
        <w:t xml:space="preserve">colon. </w:t>
      </w:r>
      <w:r w:rsidRPr="00CE7754">
        <w:rPr>
          <w:b/>
          <w:sz w:val="28"/>
        </w:rPr>
        <w:t xml:space="preserve">→ </w:t>
      </w:r>
      <w:r w:rsidRPr="00CE7754">
        <w:t>3.</w:t>
      </w:r>
      <w:r w:rsidRPr="00CE7754">
        <w:rPr>
          <w:b/>
        </w:rPr>
        <w:t xml:space="preserve"> </w:t>
      </w:r>
      <w:r w:rsidRPr="00CE7754">
        <w:rPr>
          <w:rStyle w:val="Emphasis"/>
          <w:b/>
        </w:rPr>
        <w:t>Lettre patente</w:t>
      </w:r>
      <w:r w:rsidRPr="00CE7754">
        <w:t xml:space="preserve"> (exigences financières satisfaites) </w:t>
      </w:r>
      <w:r w:rsidR="00C54242" w:rsidRPr="00CE7754">
        <w:rPr>
          <w:rFonts w:cs="Arial"/>
        </w:rPr>
        <w:t>[</w:t>
      </w:r>
      <w:r w:rsidRPr="00CE7754">
        <w:rPr>
          <w:rStyle w:val="Emphasis"/>
        </w:rPr>
        <w:t>propriété</w:t>
      </w:r>
      <w:r w:rsidRPr="00CE7754">
        <w:t xml:space="preserve"> transférée au colon</w:t>
      </w:r>
      <w:r w:rsidR="00C54242" w:rsidRPr="00CE7754">
        <w:rPr>
          <w:rFonts w:cs="Arial"/>
        </w:rPr>
        <w:t>]</w:t>
      </w:r>
      <w:r w:rsidRPr="00CE7754">
        <w:t>.</w:t>
      </w:r>
    </w:p>
    <w:p w14:paraId="2D656D94" w14:textId="294D0BB4" w:rsidR="00AA45F1" w:rsidRPr="00CE7754" w:rsidRDefault="00AA45F1" w:rsidP="00D0013C">
      <w:pPr>
        <w:spacing w:before="240"/>
        <w:rPr>
          <w:rStyle w:val="eop"/>
          <w:rFonts w:cs="Arial"/>
        </w:rPr>
      </w:pPr>
      <w:r w:rsidRPr="00CE7754">
        <w:rPr>
          <w:rStyle w:val="eop"/>
        </w:rPr>
        <w:t>Pour régler les problèmes attribuables au décès des concessionnaires, au transfert de leurs droits ou à l’inachèvement du processus d’obtention des lettres patentes, le gouvernement du Haut-Canada a créé deux Commissions des héritiers et des légataires (de 1797 à 1804 et de 1805 à 1911).</w:t>
      </w:r>
    </w:p>
    <w:p w14:paraId="170E6384" w14:textId="37C44869" w:rsidR="00434AA1" w:rsidRPr="00CE7754" w:rsidRDefault="00434AA1" w:rsidP="00434AA1">
      <w:pPr>
        <w:spacing w:before="240"/>
        <w:rPr>
          <w:rStyle w:val="eop"/>
          <w:rFonts w:cs="Arial"/>
        </w:rPr>
      </w:pPr>
      <w:bookmarkStart w:id="18" w:name="_Hlk59623186"/>
      <w:r w:rsidRPr="00CE7754">
        <w:rPr>
          <w:rStyle w:val="eop"/>
        </w:rPr>
        <w:t>Un agent des terres de la Couronne désigné était généralement responsable de la vente d’une terre de la Couronne, qui faisait l’objet d’une vente publique</w:t>
      </w:r>
      <w:r w:rsidR="00C54242" w:rsidRPr="00CE7754">
        <w:rPr>
          <w:rStyle w:val="eop"/>
        </w:rPr>
        <w:t xml:space="preserve">. </w:t>
      </w:r>
      <w:bookmarkStart w:id="19" w:name="_Hlk59089329"/>
      <w:r w:rsidRPr="00CE7754">
        <w:rPr>
          <w:rStyle w:val="eop"/>
        </w:rPr>
        <w:t>Il arrivait souvent que le paiement se fasse par versements, ou encore que l’acheteur commence par louer la terre et qu’une partie de la somme versée serve à payer le prix d’achat. La grande partie des documents qui étaient créés lors du processus de concession servaient à documenter la vente, et l’acheteur recevait la lettre patente après le dernier versement.</w:t>
      </w:r>
    </w:p>
    <w:bookmarkEnd w:id="18"/>
    <w:bookmarkEnd w:id="19"/>
    <w:p w14:paraId="6BFA64B0" w14:textId="2DE68665" w:rsidR="00BE472B" w:rsidRPr="00CE7754" w:rsidRDefault="00BE472B" w:rsidP="00AA45F1">
      <w:pPr>
        <w:spacing w:before="240" w:after="240"/>
        <w:rPr>
          <w:rFonts w:cs="Arial"/>
        </w:rPr>
      </w:pPr>
      <w:r w:rsidRPr="00CE7754">
        <w:t>Certains des documents relatifs aux terres de la Couronne se trouvent dans l’index des documents relatifs aux terres de l’Ontario.</w:t>
      </w:r>
    </w:p>
    <w:p w14:paraId="41D0C695" w14:textId="326CADDC" w:rsidR="00574878" w:rsidRPr="00CE7754" w:rsidRDefault="00A02A38" w:rsidP="00AA45F1">
      <w:pPr>
        <w:spacing w:before="240" w:after="240"/>
      </w:pPr>
      <w:r w:rsidRPr="00CE7754">
        <w:lastRenderedPageBreak/>
        <w:t xml:space="preserve">Afin d’obtenir des renseignements sur les documents relatifs aux terres de la Couronne, </w:t>
      </w:r>
      <w:hyperlink r:id="rId19" w:history="1">
        <w:r w:rsidRPr="00CE7754">
          <w:rPr>
            <w:rStyle w:val="Hyperlink"/>
          </w:rPr>
          <w:t xml:space="preserve">consultez le guide de recherche 225, </w:t>
        </w:r>
        <w:r w:rsidRPr="00CE7754">
          <w:rPr>
            <w:rStyle w:val="Hyperlink"/>
            <w:i/>
            <w:iCs/>
          </w:rPr>
          <w:t>Recherche de documents relatifs aux terres de la Couronne</w:t>
        </w:r>
      </w:hyperlink>
      <w:r w:rsidRPr="00CE7754">
        <w:t>.</w:t>
      </w:r>
    </w:p>
    <w:p w14:paraId="2E17A993" w14:textId="5DE686B9" w:rsidR="0020291C" w:rsidRPr="00CE7754" w:rsidRDefault="00DA35CD" w:rsidP="0020291C">
      <w:pPr>
        <w:pStyle w:val="Heading2"/>
      </w:pPr>
      <w:bookmarkStart w:id="20" w:name="_Toc105054211"/>
      <w:r w:rsidRPr="00CE7754">
        <w:t>Promoteurs de la colonisation : Thomas Talbot et Peter Robinson</w:t>
      </w:r>
      <w:bookmarkEnd w:id="20"/>
    </w:p>
    <w:p w14:paraId="5CD1433E" w14:textId="77777777" w:rsidR="0020291C" w:rsidRPr="00CE7754" w:rsidRDefault="0020291C" w:rsidP="0020291C">
      <w:pPr>
        <w:rPr>
          <w:rFonts w:cs="Arial"/>
          <w:b/>
          <w:i/>
          <w:color w:val="000000"/>
        </w:rPr>
      </w:pPr>
    </w:p>
    <w:p w14:paraId="3C058CED" w14:textId="75455AE2" w:rsidR="00A76F1A" w:rsidRPr="00CE7754" w:rsidRDefault="00DA35CD" w:rsidP="0020291C">
      <w:pPr>
        <w:rPr>
          <w:rFonts w:cs="Arial"/>
          <w:color w:val="000000"/>
        </w:rPr>
      </w:pPr>
      <w:r w:rsidRPr="00CE7754">
        <w:rPr>
          <w:color w:val="000000"/>
        </w:rPr>
        <w:t>Des particuliers ont aussi participé au processus initié par la Couronne en encourageant la colonisation et en gérant certaines parties du processus d’octroi dans certaines régions de la province</w:t>
      </w:r>
      <w:r w:rsidR="00C54242" w:rsidRPr="00CE7754">
        <w:rPr>
          <w:color w:val="000000"/>
        </w:rPr>
        <w:t xml:space="preserve">. </w:t>
      </w:r>
      <w:r w:rsidRPr="00CE7754">
        <w:rPr>
          <w:color w:val="000000"/>
        </w:rPr>
        <w:t>Parmi les principaux promoteurs, citons Thomas Talbot, dans le Sud-Ouest de l’Ontario, et Peter Robinson, dans les régions de Peterborough et d’Ottawa.</w:t>
      </w:r>
    </w:p>
    <w:p w14:paraId="52C8CC8C" w14:textId="77777777" w:rsidR="00F64CCA" w:rsidRPr="00CE7754" w:rsidRDefault="00F64CCA" w:rsidP="00F64CCA"/>
    <w:p w14:paraId="7612643B" w14:textId="2F2D237F" w:rsidR="00F64CCA" w:rsidRPr="00CE7754" w:rsidRDefault="00940A45" w:rsidP="004C5E14">
      <w:pPr>
        <w:pStyle w:val="Heading3"/>
        <w:numPr>
          <w:ilvl w:val="0"/>
          <w:numId w:val="27"/>
        </w:numPr>
        <w:ind w:left="360"/>
      </w:pPr>
      <w:bookmarkStart w:id="21" w:name="_Toc105054212"/>
      <w:r w:rsidRPr="00CE7754">
        <w:t>Thomas Talbot et la « Talbot Tract »</w:t>
      </w:r>
      <w:bookmarkEnd w:id="21"/>
    </w:p>
    <w:p w14:paraId="0A179668" w14:textId="65915D1D" w:rsidR="00AF4CB1" w:rsidRPr="00CE7754" w:rsidRDefault="00AF4CB1" w:rsidP="00AF4CB1">
      <w:pPr>
        <w:rPr>
          <w:rFonts w:cs="Arial"/>
        </w:rPr>
      </w:pPr>
    </w:p>
    <w:p w14:paraId="072BD9DF" w14:textId="39C3E853" w:rsidR="00DA186C" w:rsidRPr="00CE7754" w:rsidRDefault="00956784" w:rsidP="00AF4CB1">
      <w:r w:rsidRPr="00CE7754">
        <w:t>Environ un demi-million d’acres (2 000 km</w:t>
      </w:r>
      <w:r w:rsidRPr="00CE7754">
        <w:rPr>
          <w:vertAlign w:val="superscript"/>
        </w:rPr>
        <w:t>2</w:t>
      </w:r>
      <w:r w:rsidRPr="00CE7754">
        <w:t>) ont été confiés au contrôle du colonel Thomas Talbot, un ancien combattant de l’armée britannique. Ces terres étaient situées dans les comtés actuels de Norfolk, Elgin, Middlesex, Kent et Essex, une région connue sous le nom de « Talbot Tract »</w:t>
      </w:r>
      <w:r w:rsidR="00C54242" w:rsidRPr="00CE7754">
        <w:t xml:space="preserve">. </w:t>
      </w:r>
      <w:r w:rsidRPr="00CE7754">
        <w:t xml:space="preserve">Entre 1802 et 1837, Talbot a aidé environ 6 000 familles à s’établir dans cette région. </w:t>
      </w:r>
    </w:p>
    <w:p w14:paraId="00D74BBC" w14:textId="5E811E79" w:rsidR="002145D0" w:rsidRPr="00CE7754" w:rsidRDefault="002145D0" w:rsidP="00AF4CB1"/>
    <w:p w14:paraId="1A7AE41F" w14:textId="31D6ADEC" w:rsidR="002145D0" w:rsidRPr="00CE7754" w:rsidRDefault="002145D0" w:rsidP="00AF4CB1">
      <w:r w:rsidRPr="00CE7754">
        <w:t>Bien que Talbot ait contrôlé la plupart des aspects du processus d’octroi des terres de la région qui lui avait été confiée, les terres étaient toujours considérées comme des terres de la Couronne. Le gouvernement délivrait des lettres de patentes une fois le processus terminé</w:t>
      </w:r>
      <w:r w:rsidR="00C54242" w:rsidRPr="00CE7754">
        <w:t xml:space="preserve">. </w:t>
      </w:r>
      <w:r w:rsidRPr="00CE7754">
        <w:t>En 1837, la Couronne a repris la gestion des terres de la « Talbot Tract ».</w:t>
      </w:r>
    </w:p>
    <w:p w14:paraId="048153F6" w14:textId="6A39AAFB" w:rsidR="002145D0" w:rsidRPr="00CE7754" w:rsidRDefault="002145D0" w:rsidP="00AF4CB1">
      <w:r w:rsidRPr="00CE7754">
        <w:t xml:space="preserve">  </w:t>
      </w:r>
    </w:p>
    <w:p w14:paraId="3867E8A3" w14:textId="5B2192F1" w:rsidR="002145D0" w:rsidRPr="00CE7754" w:rsidRDefault="002145D0" w:rsidP="002145D0">
      <w:r w:rsidRPr="00CE7754">
        <w:t>Nous détenons les plans des cantons et des villes utilisés par Talbot pour documenter l’octroi de ses terres</w:t>
      </w:r>
      <w:r w:rsidR="00C54242" w:rsidRPr="00CE7754">
        <w:t xml:space="preserve">. </w:t>
      </w:r>
      <w:r w:rsidRPr="00CE7754">
        <w:t>Talbot notait au crayon les noms des colons qui s’établissaient sur ses terres</w:t>
      </w:r>
      <w:r w:rsidR="00C54242" w:rsidRPr="00CE7754">
        <w:t xml:space="preserve">. </w:t>
      </w:r>
      <w:r w:rsidRPr="00CE7754">
        <w:t>Souvent, il effaçait ou raturait ces renseignements lorsqu’il rejetait ou remplaçait les colons précédemment établis</w:t>
      </w:r>
      <w:r w:rsidR="00C54242" w:rsidRPr="00CE7754">
        <w:t xml:space="preserve">. </w:t>
      </w:r>
      <w:r w:rsidRPr="00CE7754">
        <w:t xml:space="preserve">Pour de plus amples renseignements sur ces plans et sur la façon d’y accéder, </w:t>
      </w:r>
      <w:hyperlink r:id="rId20" w:history="1">
        <w:r w:rsidRPr="00CE7754">
          <w:rPr>
            <w:rStyle w:val="Hyperlink"/>
          </w:rPr>
          <w:t>consultez la description de la série 501-1</w:t>
        </w:r>
      </w:hyperlink>
      <w:r w:rsidRPr="00CE7754">
        <w:t>.</w:t>
      </w:r>
    </w:p>
    <w:p w14:paraId="05548A56" w14:textId="77777777" w:rsidR="002145D0" w:rsidRPr="00CE7754" w:rsidRDefault="002145D0" w:rsidP="002145D0"/>
    <w:p w14:paraId="41593A19" w14:textId="0475EDD9" w:rsidR="002145D0" w:rsidRPr="00CE7754" w:rsidRDefault="006E6D6B" w:rsidP="002145D0">
      <w:r w:rsidRPr="00CE7754">
        <w:t xml:space="preserve">Nous disposons également d’un registre qui contient des renseignements sur les baux dans dix cantons dont Talbot a supervisé la colonisation : </w:t>
      </w:r>
      <w:proofErr w:type="spellStart"/>
      <w:r w:rsidRPr="00CE7754">
        <w:t>Aldborough</w:t>
      </w:r>
      <w:proofErr w:type="spellEnd"/>
      <w:r w:rsidRPr="00CE7754">
        <w:t xml:space="preserve">, </w:t>
      </w:r>
      <w:proofErr w:type="spellStart"/>
      <w:r w:rsidRPr="00CE7754">
        <w:t>Bayham</w:t>
      </w:r>
      <w:proofErr w:type="spellEnd"/>
      <w:r w:rsidRPr="00CE7754">
        <w:t xml:space="preserve">, </w:t>
      </w:r>
      <w:proofErr w:type="spellStart"/>
      <w:r w:rsidRPr="00CE7754">
        <w:t>Charlotteville</w:t>
      </w:r>
      <w:proofErr w:type="spellEnd"/>
      <w:r w:rsidRPr="00CE7754">
        <w:t xml:space="preserve">, </w:t>
      </w:r>
      <w:proofErr w:type="spellStart"/>
      <w:r w:rsidRPr="00CE7754">
        <w:t>Dunwich</w:t>
      </w:r>
      <w:proofErr w:type="spellEnd"/>
      <w:r w:rsidRPr="00CE7754">
        <w:t xml:space="preserve">, London, Malahide, </w:t>
      </w:r>
      <w:proofErr w:type="spellStart"/>
      <w:r w:rsidRPr="00CE7754">
        <w:t>Southwold</w:t>
      </w:r>
      <w:proofErr w:type="spellEnd"/>
      <w:r w:rsidRPr="00CE7754">
        <w:t xml:space="preserve">, Townsend, </w:t>
      </w:r>
      <w:proofErr w:type="spellStart"/>
      <w:r w:rsidRPr="00CE7754">
        <w:t>Woodhouse</w:t>
      </w:r>
      <w:proofErr w:type="spellEnd"/>
      <w:r w:rsidRPr="00CE7754">
        <w:t xml:space="preserve"> et Yarmouth</w:t>
      </w:r>
      <w:r w:rsidR="00C54242" w:rsidRPr="00CE7754">
        <w:t xml:space="preserve">. </w:t>
      </w:r>
      <w:r w:rsidRPr="00CE7754">
        <w:t xml:space="preserve">Pour de plus amples renseignements sur ce registre et sur la façon d’y accéder, </w:t>
      </w:r>
      <w:hyperlink r:id="rId21" w:history="1">
        <w:r w:rsidRPr="00CE7754">
          <w:rPr>
            <w:rStyle w:val="Hyperlink"/>
          </w:rPr>
          <w:t>consultez la description de la série F 501-2</w:t>
        </w:r>
      </w:hyperlink>
      <w:r w:rsidRPr="00CE7754">
        <w:t>.</w:t>
      </w:r>
    </w:p>
    <w:p w14:paraId="1716BAE2" w14:textId="77777777" w:rsidR="002145D0" w:rsidRPr="00CE7754" w:rsidRDefault="002145D0" w:rsidP="002145D0">
      <w:pPr>
        <w:rPr>
          <w:sz w:val="22"/>
        </w:rPr>
      </w:pPr>
    </w:p>
    <w:p w14:paraId="57BCF652" w14:textId="541FEF64" w:rsidR="008B11AD" w:rsidRPr="00CE7754" w:rsidRDefault="006E6D6B" w:rsidP="008B11AD">
      <w:pPr>
        <w:pStyle w:val="Heading3"/>
        <w:numPr>
          <w:ilvl w:val="0"/>
          <w:numId w:val="27"/>
        </w:numPr>
        <w:ind w:left="360"/>
      </w:pPr>
      <w:bookmarkStart w:id="22" w:name="_Toc105054213"/>
      <w:r w:rsidRPr="00CE7754">
        <w:t>Peter Robinson et les régions de Peterborough et d’Ottawa</w:t>
      </w:r>
      <w:bookmarkEnd w:id="22"/>
    </w:p>
    <w:p w14:paraId="0742938A" w14:textId="77777777" w:rsidR="008B11AD" w:rsidRPr="00CE7754" w:rsidRDefault="008B11AD" w:rsidP="008B11AD">
      <w:pPr>
        <w:rPr>
          <w:rFonts w:cs="Arial"/>
        </w:rPr>
      </w:pPr>
    </w:p>
    <w:p w14:paraId="49209C4C" w14:textId="59404A4D" w:rsidR="006E6D6B" w:rsidRPr="00CE7754" w:rsidRDefault="006E6D6B" w:rsidP="006E6D6B">
      <w:bookmarkStart w:id="23" w:name="_Toc43282620"/>
      <w:bookmarkEnd w:id="0"/>
      <w:bookmarkEnd w:id="1"/>
      <w:bookmarkEnd w:id="2"/>
      <w:bookmarkEnd w:id="3"/>
      <w:bookmarkEnd w:id="4"/>
      <w:r w:rsidRPr="00CE7754">
        <w:t>En 1823, le gouvernement britannique a lancé un programme pour aider les Irlandais pauvres du Sud à immigrer au Canada</w:t>
      </w:r>
      <w:r w:rsidR="00C54242" w:rsidRPr="00CE7754">
        <w:t xml:space="preserve">. </w:t>
      </w:r>
      <w:r w:rsidRPr="00CE7754">
        <w:t>Le gouvernement du Haut-Canada a nommé Peter Robinson pour superviser l’arrivée et la colonisation de ces immigrants.</w:t>
      </w:r>
    </w:p>
    <w:p w14:paraId="6E78AA2B" w14:textId="77777777" w:rsidR="006E6D6B" w:rsidRPr="00CE7754" w:rsidRDefault="006E6D6B" w:rsidP="006E6D6B"/>
    <w:p w14:paraId="5D75CBFB" w14:textId="51ADD00B" w:rsidR="006E6D6B" w:rsidRPr="00CE7754" w:rsidRDefault="006E6D6B" w:rsidP="006E6D6B">
      <w:r w:rsidRPr="00CE7754">
        <w:t xml:space="preserve">En 1823, Robinson participe à la colonisation d’un premier groupe d’immigrants, principalement dans les cantons de Ramsay et </w:t>
      </w:r>
      <w:proofErr w:type="spellStart"/>
      <w:r w:rsidRPr="00CE7754">
        <w:t>Pakenham</w:t>
      </w:r>
      <w:proofErr w:type="spellEnd"/>
      <w:r w:rsidRPr="00CE7754">
        <w:t xml:space="preserve"> (comté de </w:t>
      </w:r>
      <w:proofErr w:type="spellStart"/>
      <w:r w:rsidRPr="00CE7754">
        <w:t>Lanark</w:t>
      </w:r>
      <w:proofErr w:type="spellEnd"/>
      <w:r w:rsidRPr="00CE7754">
        <w:t xml:space="preserve">) et de </w:t>
      </w:r>
      <w:proofErr w:type="spellStart"/>
      <w:r w:rsidRPr="00CE7754">
        <w:lastRenderedPageBreak/>
        <w:t>Goulbourn</w:t>
      </w:r>
      <w:proofErr w:type="spellEnd"/>
      <w:r w:rsidRPr="00CE7754">
        <w:t xml:space="preserve"> et </w:t>
      </w:r>
      <w:proofErr w:type="spellStart"/>
      <w:r w:rsidRPr="00CE7754">
        <w:t>Huntley</w:t>
      </w:r>
      <w:proofErr w:type="spellEnd"/>
      <w:r w:rsidRPr="00CE7754">
        <w:t xml:space="preserve"> (comté de Carleton, qui fait maintenant partie d’Ottawa)</w:t>
      </w:r>
      <w:r w:rsidR="00C54242" w:rsidRPr="00CE7754">
        <w:t xml:space="preserve">. </w:t>
      </w:r>
      <w:r w:rsidRPr="00CE7754">
        <w:t xml:space="preserve">En 1825, un deuxième groupe, plus nombreux, s’est établi sur les terres dans les cantons de Peterborough, surtout ceux de Douro, </w:t>
      </w:r>
      <w:proofErr w:type="spellStart"/>
      <w:r w:rsidRPr="00CE7754">
        <w:t>Otonabee</w:t>
      </w:r>
      <w:proofErr w:type="spellEnd"/>
      <w:r w:rsidRPr="00CE7754">
        <w:t xml:space="preserve">, </w:t>
      </w:r>
      <w:proofErr w:type="spellStart"/>
      <w:r w:rsidRPr="00CE7754">
        <w:t>Asphodel</w:t>
      </w:r>
      <w:proofErr w:type="spellEnd"/>
      <w:r w:rsidRPr="00CE7754">
        <w:t xml:space="preserve">, Smith, Emily, </w:t>
      </w:r>
      <w:proofErr w:type="spellStart"/>
      <w:r w:rsidRPr="00CE7754">
        <w:t>Ennismore</w:t>
      </w:r>
      <w:proofErr w:type="spellEnd"/>
      <w:r w:rsidRPr="00CE7754">
        <w:t xml:space="preserve"> et Ops.</w:t>
      </w:r>
    </w:p>
    <w:p w14:paraId="0B1F3BCC" w14:textId="77777777" w:rsidR="006E6D6B" w:rsidRPr="00CE7754" w:rsidRDefault="006E6D6B" w:rsidP="006E6D6B"/>
    <w:p w14:paraId="33E03F2B" w14:textId="3D27B5D3" w:rsidR="006E6D6B" w:rsidRPr="00CE7754" w:rsidRDefault="006E6D6B" w:rsidP="007525F6">
      <w:r w:rsidRPr="00CE7754">
        <w:t>Les immigrants recevaient le passage gratuit vers le Haut-Canada, des provisions pour le voyage et pour une année après leur installation, ainsi que les outils et les instruments requis pour la colonisation</w:t>
      </w:r>
      <w:r w:rsidR="00C54242" w:rsidRPr="00CE7754">
        <w:t xml:space="preserve">. </w:t>
      </w:r>
      <w:r w:rsidRPr="00CE7754">
        <w:t>Chaque immigrant de sexe masculin, âgé de 18 à 45 ans, recevait un billet d’attribution (</w:t>
      </w:r>
      <w:r w:rsidRPr="00CE7754">
        <w:rPr>
          <w:i/>
          <w:iCs/>
        </w:rPr>
        <w:t>location ticket</w:t>
      </w:r>
      <w:r w:rsidRPr="00CE7754">
        <w:t>) pour 70 acres (0,2 km</w:t>
      </w:r>
      <w:r w:rsidRPr="00CE7754">
        <w:rPr>
          <w:vertAlign w:val="superscript"/>
        </w:rPr>
        <w:t>2</w:t>
      </w:r>
      <w:r w:rsidRPr="00CE7754">
        <w:t>) de terre, avec l’option d’acheter 30 acres (0,1 km</w:t>
      </w:r>
      <w:r w:rsidRPr="00CE7754">
        <w:rPr>
          <w:vertAlign w:val="superscript"/>
        </w:rPr>
        <w:t>2</w:t>
      </w:r>
      <w:r w:rsidRPr="00CE7754">
        <w:t>) de plus à une date ultérieure.</w:t>
      </w:r>
    </w:p>
    <w:p w14:paraId="2B42D5C3" w14:textId="3E0F7627" w:rsidR="008B63EE" w:rsidRPr="00CE7754" w:rsidRDefault="008B63EE" w:rsidP="007525F6"/>
    <w:p w14:paraId="57C0943A" w14:textId="736CADE0" w:rsidR="008B63EE" w:rsidRPr="00CE7754" w:rsidRDefault="008B63EE" w:rsidP="006E6D6B">
      <w:r w:rsidRPr="00CE7754">
        <w:t>Nous disposons de la correspondance que Peter Robinson a reçue de fonctionnaires, d’immigrants et d’autres personnes de 1825 à 1836</w:t>
      </w:r>
      <w:r w:rsidR="00C54242" w:rsidRPr="00CE7754">
        <w:t xml:space="preserve">. </w:t>
      </w:r>
      <w:r w:rsidRPr="00CE7754">
        <w:t xml:space="preserve">Pour de plus amples renseignements sur ces documents et sur la façon d’y accéder, </w:t>
      </w:r>
      <w:hyperlink r:id="rId22" w:history="1">
        <w:r w:rsidRPr="00CE7754">
          <w:rPr>
            <w:rStyle w:val="Hyperlink"/>
          </w:rPr>
          <w:t>consultez la description de la série F 61</w:t>
        </w:r>
      </w:hyperlink>
      <w:r w:rsidRPr="00CE7754">
        <w:t>.</w:t>
      </w:r>
    </w:p>
    <w:p w14:paraId="230E53CC" w14:textId="77777777" w:rsidR="008B63EE" w:rsidRPr="00CE7754" w:rsidRDefault="008B63EE" w:rsidP="006E6D6B"/>
    <w:p w14:paraId="0C9790D2" w14:textId="50C0A29E" w:rsidR="00E447F3" w:rsidRPr="00CE7754" w:rsidRDefault="008B63EE" w:rsidP="00E447F3">
      <w:r w:rsidRPr="00CE7754">
        <w:t>Nous faisons également des copies sur microfilm des documents ci-dessous</w:t>
      </w:r>
      <w:r w:rsidR="00C54242" w:rsidRPr="00CE7754">
        <w:t xml:space="preserve">. </w:t>
      </w:r>
      <w:r w:rsidRPr="00CE7754">
        <w:t xml:space="preserve">Les originaux sont conservés au </w:t>
      </w:r>
      <w:proofErr w:type="gramStart"/>
      <w:r w:rsidRPr="00CE7754">
        <w:t>Musée</w:t>
      </w:r>
      <w:proofErr w:type="gramEnd"/>
      <w:r w:rsidRPr="00CE7754">
        <w:t xml:space="preserve"> du Centenaire et Archives de Peterborough. Certains de ces documents se trouvent dans l’index des documents relatifs aux terres de l’Ontario :  </w:t>
      </w:r>
    </w:p>
    <w:p w14:paraId="568B6900" w14:textId="77777777" w:rsidR="00AC60D7" w:rsidRPr="00CE7754" w:rsidRDefault="00AC60D7" w:rsidP="00AC60D7"/>
    <w:p w14:paraId="15EB5EB5" w14:textId="022EC014" w:rsidR="008B63EE" w:rsidRPr="00CE7754" w:rsidRDefault="006E6D6B" w:rsidP="00AC60D7">
      <w:pPr>
        <w:pStyle w:val="ListParagraph"/>
        <w:numPr>
          <w:ilvl w:val="0"/>
          <w:numId w:val="37"/>
        </w:numPr>
      </w:pPr>
      <w:r w:rsidRPr="00CE7754">
        <w:t xml:space="preserve">Des listes d’immigrants arrivés par bateau (1823); </w:t>
      </w:r>
    </w:p>
    <w:p w14:paraId="19C3805C" w14:textId="7D9D484B" w:rsidR="006E6D6B" w:rsidRPr="00CE7754" w:rsidRDefault="006E6D6B" w:rsidP="006E6D6B">
      <w:pPr>
        <w:pStyle w:val="ListParagraph"/>
        <w:numPr>
          <w:ilvl w:val="0"/>
          <w:numId w:val="36"/>
        </w:numPr>
      </w:pPr>
      <w:r w:rsidRPr="00CE7754">
        <w:t>Des cartes d’embarquement datant de 1825;</w:t>
      </w:r>
    </w:p>
    <w:p w14:paraId="27DAAB72" w14:textId="0AEFEA11" w:rsidR="008B63EE" w:rsidRPr="00CE7754" w:rsidRDefault="006E6D6B" w:rsidP="006E6D6B">
      <w:pPr>
        <w:pStyle w:val="ListParagraph"/>
        <w:numPr>
          <w:ilvl w:val="0"/>
          <w:numId w:val="36"/>
        </w:numPr>
      </w:pPr>
      <w:r w:rsidRPr="00CE7754">
        <w:t>Des listes par ordre alphabétique d’immigrants par canton, indiquant leur lieu de naissance en Irlande;</w:t>
      </w:r>
    </w:p>
    <w:p w14:paraId="7C1FFAB9" w14:textId="403ED8D9" w:rsidR="006E6D6B" w:rsidRPr="00CE7754" w:rsidRDefault="006E6D6B" w:rsidP="006E6D6B">
      <w:pPr>
        <w:pStyle w:val="ListParagraph"/>
        <w:numPr>
          <w:ilvl w:val="0"/>
          <w:numId w:val="36"/>
        </w:numPr>
      </w:pPr>
      <w:r w:rsidRPr="00CE7754">
        <w:t>Des listes d’outils, de bétail et de vêtements donnés aux immigrants;</w:t>
      </w:r>
    </w:p>
    <w:p w14:paraId="71E278F9" w14:textId="77777777" w:rsidR="006E6D6B" w:rsidRPr="00CE7754" w:rsidRDefault="006E6D6B" w:rsidP="006E6D6B">
      <w:pPr>
        <w:pStyle w:val="ListParagraph"/>
        <w:numPr>
          <w:ilvl w:val="0"/>
          <w:numId w:val="36"/>
        </w:numPr>
      </w:pPr>
      <w:r w:rsidRPr="00CE7754">
        <w:t>Les demandes d’immigrants prospectifs, classées par ordre alphabétique et souvent accompagnées de lettres de recommandation.</w:t>
      </w:r>
    </w:p>
    <w:p w14:paraId="38B56AAA" w14:textId="77777777" w:rsidR="00AC60D7" w:rsidRPr="00CE7754" w:rsidRDefault="00AC60D7" w:rsidP="006E6D6B"/>
    <w:p w14:paraId="1A50A629" w14:textId="61554E9D" w:rsidR="006E6D6B" w:rsidRPr="00CE7754" w:rsidRDefault="00AC60D7" w:rsidP="006E6D6B">
      <w:r w:rsidRPr="00CE7754">
        <w:t>Vous pouvez consulter ces documents dans notre salle de lecture sur le microfilm MS 12, bobines 1 à 3</w:t>
      </w:r>
      <w:r w:rsidR="00C54242" w:rsidRPr="00CE7754">
        <w:t xml:space="preserve">. </w:t>
      </w:r>
      <w:r w:rsidRPr="00CE7754">
        <w:t xml:space="preserve">Il y a un instrument de recherche au début de la bobine 1. Voici l’adresse du site Web du </w:t>
      </w:r>
      <w:proofErr w:type="gramStart"/>
      <w:r w:rsidRPr="00CE7754">
        <w:t>Musée</w:t>
      </w:r>
      <w:proofErr w:type="gramEnd"/>
      <w:r w:rsidRPr="00CE7754">
        <w:t xml:space="preserve"> du Centenaire et Archives de Peterborough (en anglais) : </w:t>
      </w:r>
      <w:hyperlink r:id="rId23" w:history="1">
        <w:r w:rsidRPr="00CE7754">
          <w:rPr>
            <w:rStyle w:val="Hyperlink"/>
          </w:rPr>
          <w:t>https://www.peterborough.ca/en/explore-and-play/museum-and-archives.aspx.</w:t>
        </w:r>
      </w:hyperlink>
    </w:p>
    <w:p w14:paraId="179562E4" w14:textId="77777777" w:rsidR="00AC60D7" w:rsidRPr="00CE7754" w:rsidRDefault="00AC60D7" w:rsidP="006E6D6B"/>
    <w:p w14:paraId="16E5DE1C" w14:textId="2CB161C5" w:rsidR="00AC60D7" w:rsidRPr="00CE7754" w:rsidRDefault="00AC60D7" w:rsidP="00AC60D7">
      <w:r w:rsidRPr="00CE7754">
        <w:t>Les immigrants parrainés par Peter Robinson figurent également dans les documents relatifs aux terres de la Couronne</w:t>
      </w:r>
      <w:r w:rsidR="00C54242" w:rsidRPr="00CE7754">
        <w:t xml:space="preserve">. </w:t>
      </w:r>
      <w:r w:rsidRPr="00CE7754">
        <w:t>Pour obtenir des renseignements sur les dossiers qui les concernent et sur la manière d’y accéder</w:t>
      </w:r>
      <w:r w:rsidR="00C54242" w:rsidRPr="00CE7754">
        <w:t> :</w:t>
      </w:r>
    </w:p>
    <w:p w14:paraId="464329FA" w14:textId="77777777" w:rsidR="00AC60D7" w:rsidRPr="00CE7754" w:rsidRDefault="00AC60D7" w:rsidP="00AC60D7"/>
    <w:p w14:paraId="260AA060" w14:textId="57D7C93C" w:rsidR="00AC60D7" w:rsidRPr="00CE7754" w:rsidRDefault="00967DD6" w:rsidP="00AC60D7">
      <w:pPr>
        <w:pStyle w:val="ListParagraph"/>
        <w:numPr>
          <w:ilvl w:val="0"/>
          <w:numId w:val="37"/>
        </w:numPr>
        <w:rPr>
          <w:rStyle w:val="Hyperlink"/>
          <w:color w:val="auto"/>
        </w:rPr>
      </w:pPr>
      <w:hyperlink r:id="rId24" w:history="1">
        <w:r w:rsidR="00C54242" w:rsidRPr="00CE7754">
          <w:rPr>
            <w:rStyle w:val="Hyperlink"/>
          </w:rPr>
          <w:t xml:space="preserve">Cliquez ici pour consulter la description de la série RG 1-162, </w:t>
        </w:r>
        <w:r w:rsidR="00C54242" w:rsidRPr="00CE7754">
          <w:rPr>
            <w:rStyle w:val="Hyperlink"/>
            <w:i/>
            <w:iCs/>
          </w:rPr>
          <w:t xml:space="preserve">Fiats for land </w:t>
        </w:r>
        <w:proofErr w:type="spellStart"/>
        <w:r w:rsidR="00C54242" w:rsidRPr="00CE7754">
          <w:rPr>
            <w:rStyle w:val="Hyperlink"/>
            <w:i/>
            <w:iCs/>
          </w:rPr>
          <w:t>grants</w:t>
        </w:r>
        <w:proofErr w:type="spellEnd"/>
        <w:r w:rsidR="00C54242" w:rsidRPr="00CE7754">
          <w:rPr>
            <w:rStyle w:val="Hyperlink"/>
            <w:i/>
            <w:iCs/>
          </w:rPr>
          <w:t xml:space="preserve"> – Peter Robinson </w:t>
        </w:r>
        <w:proofErr w:type="spellStart"/>
        <w:r w:rsidR="00C54242" w:rsidRPr="00CE7754">
          <w:rPr>
            <w:rStyle w:val="Hyperlink"/>
            <w:i/>
            <w:iCs/>
          </w:rPr>
          <w:t>settlers</w:t>
        </w:r>
        <w:proofErr w:type="spellEnd"/>
        <w:r w:rsidR="00C54242" w:rsidRPr="00CE7754">
          <w:rPr>
            <w:rStyle w:val="Hyperlink"/>
            <w:i/>
            <w:iCs/>
          </w:rPr>
          <w:t>, 1833 to 1862</w:t>
        </w:r>
      </w:hyperlink>
      <w:r w:rsidR="00C54242" w:rsidRPr="00CE7754">
        <w:t xml:space="preserve"> (en anglais)</w:t>
      </w:r>
    </w:p>
    <w:p w14:paraId="06C3CDEA" w14:textId="41AEC790" w:rsidR="00A02A38" w:rsidRPr="00CE7754" w:rsidRDefault="00967DD6" w:rsidP="00AC60D7">
      <w:pPr>
        <w:pStyle w:val="ListParagraph"/>
        <w:numPr>
          <w:ilvl w:val="0"/>
          <w:numId w:val="37"/>
        </w:numPr>
        <w:rPr>
          <w:rStyle w:val="Hyperlink"/>
          <w:color w:val="auto"/>
        </w:rPr>
      </w:pPr>
      <w:hyperlink r:id="rId25" w:history="1">
        <w:r w:rsidR="00391F96" w:rsidRPr="00CE7754">
          <w:rPr>
            <w:rStyle w:val="Hyperlink"/>
          </w:rPr>
          <w:t xml:space="preserve">Cliquez ici pour consulter la description de la série RG 1-84, </w:t>
        </w:r>
        <w:proofErr w:type="spellStart"/>
        <w:r w:rsidR="00391F96" w:rsidRPr="00CE7754">
          <w:rPr>
            <w:rStyle w:val="Hyperlink"/>
            <w:i/>
            <w:iCs/>
          </w:rPr>
          <w:t>Returns</w:t>
        </w:r>
        <w:proofErr w:type="spellEnd"/>
        <w:r w:rsidR="00391F96" w:rsidRPr="00CE7754">
          <w:rPr>
            <w:rStyle w:val="Hyperlink"/>
            <w:i/>
            <w:iCs/>
          </w:rPr>
          <w:t xml:space="preserve"> of </w:t>
        </w:r>
        <w:proofErr w:type="spellStart"/>
        <w:r w:rsidR="00391F96" w:rsidRPr="00CE7754">
          <w:rPr>
            <w:rStyle w:val="Hyperlink"/>
            <w:i/>
            <w:iCs/>
          </w:rPr>
          <w:t>settlers</w:t>
        </w:r>
        <w:proofErr w:type="spellEnd"/>
        <w:r w:rsidR="00391F96" w:rsidRPr="00CE7754">
          <w:rPr>
            <w:rStyle w:val="Hyperlink"/>
            <w:i/>
            <w:iCs/>
          </w:rPr>
          <w:t xml:space="preserve"> in the Newcastle District, circa 1836 to 1869</w:t>
        </w:r>
      </w:hyperlink>
      <w:r w:rsidR="00391F96" w:rsidRPr="00CE7754">
        <w:t xml:space="preserve"> (en anglais).</w:t>
      </w:r>
    </w:p>
    <w:p w14:paraId="4D0323BE" w14:textId="692AAFA2" w:rsidR="006E6D6B" w:rsidRPr="00CE7754" w:rsidRDefault="00967DD6" w:rsidP="00AC60D7">
      <w:pPr>
        <w:pStyle w:val="ListParagraph"/>
        <w:numPr>
          <w:ilvl w:val="0"/>
          <w:numId w:val="37"/>
        </w:numPr>
        <w:rPr>
          <w:u w:val="single"/>
        </w:rPr>
      </w:pPr>
      <w:hyperlink r:id="rId26" w:history="1">
        <w:r w:rsidR="00391F96" w:rsidRPr="00CE7754">
          <w:rPr>
            <w:rStyle w:val="Hyperlink"/>
          </w:rPr>
          <w:t xml:space="preserve">Cliquez ici pour consulter la description de la série RG 1-163, </w:t>
        </w:r>
        <w:r w:rsidR="00391F96" w:rsidRPr="00CE7754">
          <w:rPr>
            <w:rStyle w:val="Hyperlink"/>
            <w:i/>
            <w:iCs/>
          </w:rPr>
          <w:t xml:space="preserve">Records </w:t>
        </w:r>
        <w:proofErr w:type="spellStart"/>
        <w:r w:rsidR="00391F96" w:rsidRPr="00CE7754">
          <w:rPr>
            <w:rStyle w:val="Hyperlink"/>
            <w:i/>
            <w:iCs/>
          </w:rPr>
          <w:t>relating</w:t>
        </w:r>
        <w:proofErr w:type="spellEnd"/>
        <w:r w:rsidR="00391F96" w:rsidRPr="00CE7754">
          <w:rPr>
            <w:rStyle w:val="Hyperlink"/>
            <w:i/>
            <w:iCs/>
          </w:rPr>
          <w:t xml:space="preserve"> to the Peter Robinson </w:t>
        </w:r>
        <w:proofErr w:type="spellStart"/>
        <w:r w:rsidR="00391F96" w:rsidRPr="00CE7754">
          <w:rPr>
            <w:rStyle w:val="Hyperlink"/>
            <w:i/>
            <w:iCs/>
          </w:rPr>
          <w:t>settlers</w:t>
        </w:r>
        <w:proofErr w:type="spellEnd"/>
        <w:r w:rsidR="00391F96" w:rsidRPr="00CE7754">
          <w:rPr>
            <w:rStyle w:val="Hyperlink"/>
            <w:i/>
            <w:iCs/>
          </w:rPr>
          <w:t>, circa 1823 to 1835</w:t>
        </w:r>
      </w:hyperlink>
      <w:r w:rsidR="00391F96" w:rsidRPr="00CE7754">
        <w:t xml:space="preserve"> (en anglais).</w:t>
      </w:r>
      <w:r w:rsidR="00391F96" w:rsidRPr="00CE7754">
        <w:rPr>
          <w:rStyle w:val="Hyperlink"/>
          <w:u w:val="none"/>
        </w:rPr>
        <w:t xml:space="preserve"> </w:t>
      </w:r>
    </w:p>
    <w:p w14:paraId="24EC80FB" w14:textId="3D4D3F78" w:rsidR="00A02A38" w:rsidRPr="00CE7754" w:rsidRDefault="00A02A38" w:rsidP="00A02A38">
      <w:pPr>
        <w:spacing w:before="240" w:after="240"/>
        <w:rPr>
          <w:rFonts w:cs="Arial"/>
        </w:rPr>
      </w:pPr>
      <w:r w:rsidRPr="00CE7754">
        <w:lastRenderedPageBreak/>
        <w:t xml:space="preserve">Afin d’obtenir des renseignements sur la recherche de documents relatifs aux terres de la Couronne, </w:t>
      </w:r>
      <w:hyperlink r:id="rId27" w:history="1">
        <w:r w:rsidRPr="00CE7754">
          <w:rPr>
            <w:rStyle w:val="Hyperlink"/>
          </w:rPr>
          <w:t xml:space="preserve">consultez le guide de recherche 225, </w:t>
        </w:r>
        <w:r w:rsidRPr="00CE7754">
          <w:rPr>
            <w:rStyle w:val="Hyperlink"/>
            <w:i/>
            <w:iCs/>
          </w:rPr>
          <w:t>Recherche de documents relatifs aux terres de la Couronne</w:t>
        </w:r>
      </w:hyperlink>
      <w:r w:rsidRPr="00CE7754">
        <w:t>.</w:t>
      </w:r>
    </w:p>
    <w:p w14:paraId="37CF1FDE" w14:textId="253C2F62" w:rsidR="005E5BBF" w:rsidRPr="00CE7754" w:rsidRDefault="005E5BBF" w:rsidP="005E5BBF">
      <w:pPr>
        <w:pStyle w:val="Heading2"/>
      </w:pPr>
      <w:bookmarkStart w:id="24" w:name="_Toc105054214"/>
      <w:r w:rsidRPr="00CE7754">
        <w:t>Promoteurs privés de la colonisation – la Canada </w:t>
      </w:r>
      <w:proofErr w:type="spellStart"/>
      <w:r w:rsidRPr="00CE7754">
        <w:t>Company</w:t>
      </w:r>
      <w:bookmarkEnd w:id="24"/>
      <w:proofErr w:type="spellEnd"/>
    </w:p>
    <w:p w14:paraId="20065BCC" w14:textId="77777777" w:rsidR="005E5BBF" w:rsidRPr="00CE7754" w:rsidRDefault="005E5BBF" w:rsidP="005E5BBF">
      <w:pPr>
        <w:rPr>
          <w:rFonts w:cs="Arial"/>
          <w:b/>
          <w:i/>
          <w:color w:val="000000"/>
        </w:rPr>
      </w:pPr>
    </w:p>
    <w:p w14:paraId="2EFC53EA" w14:textId="10F2879D" w:rsidR="005E5BBF" w:rsidRPr="00CE7754" w:rsidRDefault="005E5BBF" w:rsidP="005E5BBF">
      <w:pPr>
        <w:rPr>
          <w:rFonts w:cs="Arial"/>
          <w:color w:val="000000"/>
        </w:rPr>
      </w:pPr>
      <w:r w:rsidRPr="00CE7754">
        <w:rPr>
          <w:color w:val="000000"/>
        </w:rPr>
        <w:t>La Canada </w:t>
      </w:r>
      <w:proofErr w:type="spellStart"/>
      <w:r w:rsidRPr="00CE7754">
        <w:rPr>
          <w:color w:val="000000"/>
        </w:rPr>
        <w:t>Company</w:t>
      </w:r>
      <w:proofErr w:type="spellEnd"/>
      <w:r w:rsidRPr="00CE7754">
        <w:rPr>
          <w:color w:val="000000"/>
        </w:rPr>
        <w:t xml:space="preserve"> a été créée à Londres, au Royaume-Uni, en 1825. En 1827, elle a acheté des terres de la Couronne dans le Haut-Canada :</w:t>
      </w:r>
    </w:p>
    <w:p w14:paraId="4EA867A0" w14:textId="77777777" w:rsidR="00EF28BA" w:rsidRPr="00CE7754" w:rsidRDefault="00EF28BA" w:rsidP="005E5BBF">
      <w:pPr>
        <w:rPr>
          <w:rFonts w:cs="Arial"/>
          <w:color w:val="000000"/>
        </w:rPr>
      </w:pPr>
    </w:p>
    <w:p w14:paraId="2966DCCA" w14:textId="3668581B" w:rsidR="003A3835" w:rsidRPr="00CE7754" w:rsidRDefault="00C54242" w:rsidP="003A3835">
      <w:pPr>
        <w:pStyle w:val="ListParagraph"/>
        <w:numPr>
          <w:ilvl w:val="0"/>
          <w:numId w:val="39"/>
        </w:numPr>
        <w:rPr>
          <w:rFonts w:cs="Arial"/>
          <w:color w:val="000000"/>
        </w:rPr>
      </w:pPr>
      <w:r w:rsidRPr="00CE7754">
        <w:rPr>
          <w:color w:val="000000"/>
        </w:rPr>
        <w:t>E</w:t>
      </w:r>
      <w:r w:rsidR="003A3835" w:rsidRPr="00CE7754">
        <w:rPr>
          <w:color w:val="000000"/>
        </w:rPr>
        <w:t>nviron 1,4 million d’acres (5,6 millions de km</w:t>
      </w:r>
      <w:r w:rsidR="003A3835" w:rsidRPr="00CE7754">
        <w:rPr>
          <w:color w:val="000000"/>
          <w:vertAlign w:val="superscript"/>
        </w:rPr>
        <w:t>2</w:t>
      </w:r>
      <w:r w:rsidR="003A3835" w:rsidRPr="00CE7754">
        <w:rPr>
          <w:color w:val="000000"/>
        </w:rPr>
        <w:t>) de réserves de la Couronne dans diverses parties de la province; il s’agissait de terres qui étaient destinées à produire des revenus pour la Couronne et qui n’avaient pas encore été louées ni vendues;</w:t>
      </w:r>
    </w:p>
    <w:p w14:paraId="250A0C13" w14:textId="221E50A0" w:rsidR="003A3835" w:rsidRPr="00CE7754" w:rsidRDefault="00C54242" w:rsidP="003A3835">
      <w:pPr>
        <w:pStyle w:val="ListParagraph"/>
        <w:numPr>
          <w:ilvl w:val="0"/>
          <w:numId w:val="39"/>
        </w:numPr>
        <w:rPr>
          <w:rFonts w:cs="Arial"/>
          <w:color w:val="000000"/>
        </w:rPr>
      </w:pPr>
      <w:r w:rsidRPr="00CE7754">
        <w:rPr>
          <w:color w:val="000000"/>
        </w:rPr>
        <w:t>E</w:t>
      </w:r>
      <w:r w:rsidR="003A3835" w:rsidRPr="00CE7754">
        <w:rPr>
          <w:color w:val="000000"/>
        </w:rPr>
        <w:t>nviron 1,1 million d’acres (4,5 millions de km</w:t>
      </w:r>
      <w:r w:rsidR="003A3835" w:rsidRPr="00CE7754">
        <w:rPr>
          <w:color w:val="000000"/>
          <w:vertAlign w:val="superscript"/>
        </w:rPr>
        <w:t>2</w:t>
      </w:r>
      <w:r w:rsidR="003A3835" w:rsidRPr="00CE7754">
        <w:rPr>
          <w:color w:val="000000"/>
        </w:rPr>
        <w:t>) de terres situées dans les comtés actuels de Huron, Lambton et Middlesex, connus sous le nom de « Huron Tract ».</w:t>
      </w:r>
    </w:p>
    <w:p w14:paraId="71C4CF57" w14:textId="13636E2B" w:rsidR="003A3835" w:rsidRPr="00CE7754" w:rsidRDefault="003A3835" w:rsidP="003A3835">
      <w:pPr>
        <w:rPr>
          <w:rFonts w:cs="Arial"/>
          <w:color w:val="000000"/>
        </w:rPr>
      </w:pPr>
    </w:p>
    <w:p w14:paraId="68862D61" w14:textId="6EA8D0FD" w:rsidR="003A3835" w:rsidRPr="00CE7754" w:rsidRDefault="003A3835" w:rsidP="003A3835">
      <w:pPr>
        <w:rPr>
          <w:rFonts w:cs="Arial"/>
          <w:color w:val="000000"/>
        </w:rPr>
      </w:pPr>
      <w:r w:rsidRPr="00CE7754">
        <w:rPr>
          <w:color w:val="000000"/>
        </w:rPr>
        <w:t>Une partie du prix d’achat consistait en la réalisation de travaux d’infrastructure dans la Huron Tract (arpentage, routes, ponts, moulins, installations portuaires).</w:t>
      </w:r>
    </w:p>
    <w:p w14:paraId="28C354F3" w14:textId="689EC68A" w:rsidR="008B1CE6" w:rsidRPr="00CE7754" w:rsidRDefault="008B1CE6" w:rsidP="003A3835">
      <w:pPr>
        <w:rPr>
          <w:rFonts w:cs="Arial"/>
          <w:color w:val="000000"/>
        </w:rPr>
      </w:pPr>
    </w:p>
    <w:p w14:paraId="2E339B4A" w14:textId="7959481F" w:rsidR="008B1CE6" w:rsidRPr="00CE7754" w:rsidRDefault="008B1CE6" w:rsidP="003A3835">
      <w:pPr>
        <w:rPr>
          <w:rFonts w:cs="Arial"/>
          <w:color w:val="000000"/>
        </w:rPr>
      </w:pPr>
      <w:r w:rsidRPr="00CE7754">
        <w:rPr>
          <w:color w:val="000000"/>
        </w:rPr>
        <w:t>La Canada </w:t>
      </w:r>
      <w:proofErr w:type="spellStart"/>
      <w:r w:rsidRPr="00CE7754">
        <w:rPr>
          <w:color w:val="000000"/>
        </w:rPr>
        <w:t>Company</w:t>
      </w:r>
      <w:proofErr w:type="spellEnd"/>
      <w:r w:rsidRPr="00CE7754">
        <w:rPr>
          <w:color w:val="000000"/>
        </w:rPr>
        <w:t xml:space="preserve"> a mis ses terres en vente et en a fait la promotion dans les îles Britanniques ainsi que dans les pays européens</w:t>
      </w:r>
      <w:r w:rsidR="00C54242" w:rsidRPr="00CE7754">
        <w:rPr>
          <w:color w:val="000000"/>
        </w:rPr>
        <w:t xml:space="preserve">. </w:t>
      </w:r>
      <w:r w:rsidRPr="00CE7754">
        <w:rPr>
          <w:color w:val="000000"/>
        </w:rPr>
        <w:t>Dans de nombreux cas, les acheteurs louaient d’abord leur lot, une partie de l’argent étant consacrée à l’achat final. La Canada </w:t>
      </w:r>
      <w:proofErr w:type="spellStart"/>
      <w:r w:rsidRPr="00CE7754">
        <w:rPr>
          <w:color w:val="000000"/>
        </w:rPr>
        <w:t>Company</w:t>
      </w:r>
      <w:proofErr w:type="spellEnd"/>
      <w:r w:rsidRPr="00CE7754">
        <w:rPr>
          <w:color w:val="000000"/>
        </w:rPr>
        <w:t xml:space="preserve"> participait également à l’exploitation des ressources naturelles de la Huron Tract</w:t>
      </w:r>
      <w:r w:rsidR="00C54242" w:rsidRPr="00CE7754">
        <w:rPr>
          <w:color w:val="000000"/>
        </w:rPr>
        <w:t xml:space="preserve">. </w:t>
      </w:r>
      <w:r w:rsidRPr="00CE7754">
        <w:rPr>
          <w:color w:val="000000"/>
        </w:rPr>
        <w:t>Elle a vendu le reste de ses terres en 1951, et a cessé ses activités en 1953.</w:t>
      </w:r>
    </w:p>
    <w:p w14:paraId="1D0A58E5" w14:textId="3100FB05" w:rsidR="008B1CE6" w:rsidRPr="00CE7754" w:rsidRDefault="008B1CE6" w:rsidP="003A3835">
      <w:pPr>
        <w:rPr>
          <w:rFonts w:cs="Arial"/>
          <w:color w:val="000000"/>
        </w:rPr>
      </w:pPr>
    </w:p>
    <w:p w14:paraId="6579260B" w14:textId="582F4993" w:rsidR="00D223A4" w:rsidRPr="00CE7754" w:rsidRDefault="008B1CE6" w:rsidP="003A3835">
      <w:pPr>
        <w:rPr>
          <w:rFonts w:cs="Arial"/>
          <w:color w:val="000000"/>
        </w:rPr>
      </w:pPr>
      <w:r w:rsidRPr="00CE7754">
        <w:rPr>
          <w:color w:val="000000"/>
        </w:rPr>
        <w:t>Parmi les documents relatifs à la Canada </w:t>
      </w:r>
      <w:proofErr w:type="spellStart"/>
      <w:r w:rsidRPr="00CE7754">
        <w:rPr>
          <w:color w:val="000000"/>
        </w:rPr>
        <w:t>Company</w:t>
      </w:r>
      <w:proofErr w:type="spellEnd"/>
      <w:r w:rsidRPr="00CE7754">
        <w:rPr>
          <w:color w:val="000000"/>
        </w:rPr>
        <w:t xml:space="preserve"> de notre collection, mentionnons des documents fonciers, des cartes et des plans, de la correspondance, ainsi que des documents financiers et administratifs. Pour de plus amples renseignements sur ces documents et sur la façon d’y accéder, communiquez avec les Archives publiques afin d’obtenir l’instrument de recherche F 129 en format électronique</w:t>
      </w:r>
      <w:r w:rsidR="00C54242" w:rsidRPr="00CE7754">
        <w:rPr>
          <w:color w:val="000000"/>
        </w:rPr>
        <w:t xml:space="preserve">. </w:t>
      </w:r>
      <w:r w:rsidRPr="00CE7754">
        <w:rPr>
          <w:color w:val="000000"/>
        </w:rPr>
        <w:t>Consultez également l’information qui suit pour en savoir plus sur les registres de ventes et de contrats, ainsi que les registres de remise.</w:t>
      </w:r>
    </w:p>
    <w:p w14:paraId="11493072" w14:textId="5D49A7CA" w:rsidR="00D223A4" w:rsidRPr="00CE7754" w:rsidRDefault="00D223A4" w:rsidP="003A3835">
      <w:pPr>
        <w:rPr>
          <w:rFonts w:cs="Arial"/>
          <w:color w:val="000000"/>
        </w:rPr>
      </w:pPr>
    </w:p>
    <w:p w14:paraId="1A8F6654" w14:textId="1E1F5D6C" w:rsidR="004A55F2" w:rsidRPr="00CE7754" w:rsidRDefault="004A55F2" w:rsidP="004A55F2">
      <w:pPr>
        <w:pStyle w:val="Heading3"/>
        <w:numPr>
          <w:ilvl w:val="0"/>
          <w:numId w:val="38"/>
        </w:numPr>
      </w:pPr>
      <w:bookmarkStart w:id="25" w:name="_Toc105054215"/>
      <w:r w:rsidRPr="00CE7754">
        <w:t>Registres de ventes et de contrats, de 1827 à 1926</w:t>
      </w:r>
      <w:bookmarkEnd w:id="25"/>
    </w:p>
    <w:p w14:paraId="6DB6D828" w14:textId="77777777" w:rsidR="004A55F2" w:rsidRPr="00CE7754" w:rsidRDefault="004A55F2" w:rsidP="003A3835">
      <w:pPr>
        <w:rPr>
          <w:rFonts w:cs="Arial"/>
          <w:color w:val="000000"/>
        </w:rPr>
      </w:pPr>
    </w:p>
    <w:p w14:paraId="7BDFCD0E" w14:textId="42BF9817" w:rsidR="004A55F2" w:rsidRPr="00CE7754" w:rsidRDefault="004A55F2" w:rsidP="003A3835">
      <w:pPr>
        <w:rPr>
          <w:rFonts w:cs="Arial"/>
          <w:color w:val="000000"/>
        </w:rPr>
      </w:pPr>
      <w:r w:rsidRPr="00CE7754">
        <w:rPr>
          <w:color w:val="000000"/>
        </w:rPr>
        <w:t>Dans les registres de la Canada </w:t>
      </w:r>
      <w:proofErr w:type="spellStart"/>
      <w:r w:rsidRPr="00CE7754">
        <w:rPr>
          <w:color w:val="000000"/>
        </w:rPr>
        <w:t>Company</w:t>
      </w:r>
      <w:proofErr w:type="spellEnd"/>
      <w:r w:rsidRPr="00CE7754">
        <w:rPr>
          <w:color w:val="000000"/>
        </w:rPr>
        <w:t xml:space="preserve"> se trouvent les renseignements ci-dessous sur la location et la vente de terres :</w:t>
      </w:r>
    </w:p>
    <w:p w14:paraId="1AC010A3" w14:textId="77777777" w:rsidR="004A55F2" w:rsidRPr="00CE7754" w:rsidRDefault="004A55F2" w:rsidP="003A3835">
      <w:pPr>
        <w:rPr>
          <w:rFonts w:cs="Arial"/>
          <w:color w:val="000000"/>
        </w:rPr>
      </w:pPr>
    </w:p>
    <w:p w14:paraId="6472A755" w14:textId="77777777" w:rsidR="004A55F2" w:rsidRPr="00CE7754" w:rsidRDefault="004A55F2" w:rsidP="004A55F2">
      <w:pPr>
        <w:pStyle w:val="ListParagraph"/>
        <w:numPr>
          <w:ilvl w:val="0"/>
          <w:numId w:val="40"/>
        </w:numPr>
        <w:rPr>
          <w:rFonts w:cs="Arial"/>
          <w:color w:val="000000"/>
        </w:rPr>
      </w:pPr>
      <w:r w:rsidRPr="00CE7754">
        <w:rPr>
          <w:color w:val="000000"/>
        </w:rPr>
        <w:t>Le nom du colon qui louait ou avait acheté la terre;</w:t>
      </w:r>
    </w:p>
    <w:p w14:paraId="6184A026" w14:textId="77777777" w:rsidR="004A55F2" w:rsidRPr="00CE7754" w:rsidRDefault="004A55F2" w:rsidP="004A55F2">
      <w:pPr>
        <w:pStyle w:val="ListParagraph"/>
        <w:numPr>
          <w:ilvl w:val="0"/>
          <w:numId w:val="40"/>
        </w:numPr>
        <w:rPr>
          <w:rFonts w:cs="Arial"/>
          <w:color w:val="000000"/>
        </w:rPr>
      </w:pPr>
      <w:r w:rsidRPr="00CE7754">
        <w:rPr>
          <w:color w:val="000000"/>
        </w:rPr>
        <w:t>Le canton, la concession et le lot de la terre louée ou vendue;</w:t>
      </w:r>
    </w:p>
    <w:p w14:paraId="52070404" w14:textId="77777777" w:rsidR="007D1C39" w:rsidRPr="00CE7754" w:rsidRDefault="004A55F2" w:rsidP="004A55F2">
      <w:pPr>
        <w:pStyle w:val="ListParagraph"/>
        <w:numPr>
          <w:ilvl w:val="0"/>
          <w:numId w:val="40"/>
        </w:numPr>
        <w:rPr>
          <w:rFonts w:cs="Arial"/>
          <w:color w:val="000000"/>
        </w:rPr>
      </w:pPr>
      <w:r w:rsidRPr="00CE7754">
        <w:rPr>
          <w:color w:val="000000"/>
        </w:rPr>
        <w:t xml:space="preserve"> Le montant et la date des paiements;</w:t>
      </w:r>
    </w:p>
    <w:p w14:paraId="033A6F1D" w14:textId="77777777" w:rsidR="007D1C39" w:rsidRPr="00CE7754" w:rsidRDefault="004A55F2" w:rsidP="004A55F2">
      <w:pPr>
        <w:pStyle w:val="ListParagraph"/>
        <w:numPr>
          <w:ilvl w:val="0"/>
          <w:numId w:val="40"/>
        </w:numPr>
        <w:rPr>
          <w:rFonts w:cs="Arial"/>
          <w:color w:val="000000"/>
        </w:rPr>
      </w:pPr>
      <w:r w:rsidRPr="00CE7754">
        <w:rPr>
          <w:color w:val="000000"/>
        </w:rPr>
        <w:t xml:space="preserve">Une référence à l’acte de transfert de propriété. </w:t>
      </w:r>
    </w:p>
    <w:p w14:paraId="50A8CFAE" w14:textId="77777777" w:rsidR="007D1C39" w:rsidRPr="00CE7754" w:rsidRDefault="007D1C39" w:rsidP="007D1C39">
      <w:pPr>
        <w:rPr>
          <w:rFonts w:cs="Arial"/>
          <w:color w:val="000000"/>
        </w:rPr>
      </w:pPr>
    </w:p>
    <w:p w14:paraId="4E493576" w14:textId="4B3A823F" w:rsidR="00D223A4" w:rsidRPr="00CE7754" w:rsidRDefault="00D223A4" w:rsidP="007D1C39">
      <w:pPr>
        <w:rPr>
          <w:rFonts w:cs="Arial"/>
          <w:color w:val="000000"/>
        </w:rPr>
      </w:pPr>
      <w:r w:rsidRPr="00CE7754">
        <w:rPr>
          <w:color w:val="000000"/>
        </w:rPr>
        <w:lastRenderedPageBreak/>
        <w:t xml:space="preserve">Vous pouvez visionner les registres sur microfilm dans notre salle de lecture; les bibliothèques qui offrent les services de prêts </w:t>
      </w:r>
      <w:proofErr w:type="spellStart"/>
      <w:r w:rsidRPr="00CE7754">
        <w:rPr>
          <w:color w:val="000000"/>
        </w:rPr>
        <w:t>interétablissements</w:t>
      </w:r>
      <w:proofErr w:type="spellEnd"/>
      <w:r w:rsidRPr="00CE7754">
        <w:rPr>
          <w:color w:val="000000"/>
        </w:rPr>
        <w:t xml:space="preserve"> peuvent emprunter les bobines pour vous</w:t>
      </w:r>
      <w:r w:rsidR="00C54242" w:rsidRPr="00CE7754">
        <w:rPr>
          <w:color w:val="000000"/>
        </w:rPr>
        <w:t xml:space="preserve">. </w:t>
      </w:r>
      <w:hyperlink r:id="rId28" w:anchor="history" w:history="1">
        <w:r w:rsidRPr="00CE7754">
          <w:rPr>
            <w:rStyle w:val="Hyperlink"/>
          </w:rPr>
          <w:t xml:space="preserve">Cliquez ici pour consulter la liste des microfilms du catalogue du Service de prêts </w:t>
        </w:r>
        <w:proofErr w:type="spellStart"/>
        <w:r w:rsidRPr="00CE7754">
          <w:rPr>
            <w:rStyle w:val="Hyperlink"/>
          </w:rPr>
          <w:t>interétablissement</w:t>
        </w:r>
        <w:proofErr w:type="spellEnd"/>
        <w:r w:rsidRPr="00CE7754">
          <w:rPr>
            <w:rStyle w:val="Hyperlink"/>
          </w:rPr>
          <w:t xml:space="preserve"> des microfilms</w:t>
        </w:r>
      </w:hyperlink>
      <w:r w:rsidRPr="00CE7754">
        <w:t xml:space="preserve"> (en anglais)</w:t>
      </w:r>
      <w:r w:rsidR="00C54242" w:rsidRPr="00CE7754">
        <w:rPr>
          <w:color w:val="000000"/>
        </w:rPr>
        <w:t xml:space="preserve">. </w:t>
      </w:r>
      <w:r w:rsidRPr="00CE7754">
        <w:rPr>
          <w:color w:val="000000"/>
        </w:rPr>
        <w:t>Ces documents se trouvent dans l’index des documents relatifs aux terres de l’Ontario.</w:t>
      </w:r>
    </w:p>
    <w:p w14:paraId="766A19C0" w14:textId="5F6ADA0D" w:rsidR="001B3C8F" w:rsidRPr="00CE7754" w:rsidRDefault="001B3C8F" w:rsidP="003A3835">
      <w:pPr>
        <w:rPr>
          <w:rFonts w:cs="Arial"/>
          <w:color w:val="000000"/>
        </w:rPr>
      </w:pPr>
    </w:p>
    <w:p w14:paraId="5BA88B31" w14:textId="77D18264" w:rsidR="007D1C39" w:rsidRPr="00CE7754" w:rsidRDefault="007D1C39" w:rsidP="007D1C39">
      <w:pPr>
        <w:pStyle w:val="Heading3"/>
        <w:numPr>
          <w:ilvl w:val="0"/>
          <w:numId w:val="38"/>
        </w:numPr>
      </w:pPr>
      <w:bookmarkStart w:id="26" w:name="_Toc105054216"/>
      <w:r w:rsidRPr="00CE7754">
        <w:t>Registres de remise, de 1843 à 1846</w:t>
      </w:r>
      <w:bookmarkEnd w:id="26"/>
    </w:p>
    <w:p w14:paraId="6B349798" w14:textId="77777777" w:rsidR="007D1C39" w:rsidRPr="00CE7754" w:rsidRDefault="007D1C39" w:rsidP="001B3C8F"/>
    <w:p w14:paraId="16E26829" w14:textId="1EA38733" w:rsidR="004A55F2" w:rsidRPr="00CE7754" w:rsidRDefault="001B3C8F" w:rsidP="001B3C8F">
      <w:r w:rsidRPr="00CE7754">
        <w:t>La Canada </w:t>
      </w:r>
      <w:proofErr w:type="spellStart"/>
      <w:r w:rsidRPr="00CE7754">
        <w:t>Company</w:t>
      </w:r>
      <w:proofErr w:type="spellEnd"/>
      <w:r w:rsidRPr="00CE7754">
        <w:t xml:space="preserve"> offrait un service gratuit de transfert d’argent, qui permettait aux colons du Haut-Canada d’envoyer de l’argent à leurs familles et amis au Royaume-Uni ou d’en recevoir</w:t>
      </w:r>
      <w:r w:rsidR="00C54242" w:rsidRPr="00CE7754">
        <w:t xml:space="preserve">. </w:t>
      </w:r>
      <w:r w:rsidRPr="00CE7754">
        <w:t>Les registres de remise que nous possédons couvrent la période de 1843 à 1846</w:t>
      </w:r>
      <w:r w:rsidR="00C54242" w:rsidRPr="00CE7754">
        <w:t xml:space="preserve">. </w:t>
      </w:r>
      <w:r w:rsidRPr="00CE7754">
        <w:t>Ils mentionnent le nom des personnes qui envoyaient et recevaient l’argent, l’endroit où ils vivaient au Haut-Canada ou au Royaume-Uni, ainsi que le montant d’argent et les dates de transactions</w:t>
      </w:r>
      <w:r w:rsidR="00C54242" w:rsidRPr="00CE7754">
        <w:t xml:space="preserve">. </w:t>
      </w:r>
      <w:r w:rsidRPr="00CE7754">
        <w:t>Certains indiquent d’autres renseignements sur l’expéditeur et le destinataire.</w:t>
      </w:r>
    </w:p>
    <w:p w14:paraId="1EC1DC27" w14:textId="77777777" w:rsidR="004A55F2" w:rsidRPr="00CE7754" w:rsidRDefault="004A55F2" w:rsidP="001B3C8F"/>
    <w:p w14:paraId="58CBA91E" w14:textId="037FB5BD" w:rsidR="001B3C8F" w:rsidRPr="00CE7754" w:rsidRDefault="004A55F2" w:rsidP="001B3C8F">
      <w:r w:rsidRPr="00CE7754">
        <w:t>Vous pouvez consulter les registres de remise sur le microfilm MS 959, bobine 1, dans notre salle de lecture</w:t>
      </w:r>
      <w:r w:rsidR="00C54242" w:rsidRPr="00CE7754">
        <w:t xml:space="preserve">. </w:t>
      </w:r>
      <w:r w:rsidRPr="00CE7754">
        <w:rPr>
          <w:lang w:val="en-CA"/>
        </w:rPr>
        <w:t xml:space="preserve">Les </w:t>
      </w:r>
      <w:proofErr w:type="spellStart"/>
      <w:r w:rsidRPr="00CE7754">
        <w:rPr>
          <w:lang w:val="en-CA"/>
        </w:rPr>
        <w:t>registres</w:t>
      </w:r>
      <w:proofErr w:type="spellEnd"/>
      <w:r w:rsidRPr="00CE7754">
        <w:rPr>
          <w:lang w:val="en-CA"/>
        </w:rPr>
        <w:t xml:space="preserve"> </w:t>
      </w:r>
      <w:proofErr w:type="spellStart"/>
      <w:r w:rsidRPr="00CE7754">
        <w:rPr>
          <w:lang w:val="en-CA"/>
        </w:rPr>
        <w:t>sont</w:t>
      </w:r>
      <w:proofErr w:type="spellEnd"/>
      <w:r w:rsidRPr="00CE7754">
        <w:rPr>
          <w:lang w:val="en-CA"/>
        </w:rPr>
        <w:t xml:space="preserve"> </w:t>
      </w:r>
      <w:proofErr w:type="spellStart"/>
      <w:r w:rsidRPr="00CE7754">
        <w:rPr>
          <w:lang w:val="en-CA"/>
        </w:rPr>
        <w:t>indexés</w:t>
      </w:r>
      <w:proofErr w:type="spellEnd"/>
      <w:r w:rsidRPr="00CE7754">
        <w:rPr>
          <w:lang w:val="en-CA"/>
        </w:rPr>
        <w:t xml:space="preserve"> dans </w:t>
      </w:r>
      <w:r w:rsidRPr="00CE7754">
        <w:rPr>
          <w:i/>
          <w:iCs/>
          <w:lang w:val="en-CA"/>
        </w:rPr>
        <w:t>Genealogical Extractions and Index of the Canada Company Remittance books</w:t>
      </w:r>
      <w:r w:rsidRPr="00CE7754">
        <w:rPr>
          <w:lang w:val="en-CA"/>
        </w:rPr>
        <w:t xml:space="preserve">, </w:t>
      </w:r>
      <w:r w:rsidRPr="00CE7754">
        <w:rPr>
          <w:rStyle w:val="Emphasis"/>
          <w:lang w:val="en-CA"/>
        </w:rPr>
        <w:t>1843-1847</w:t>
      </w:r>
      <w:r w:rsidRPr="00CE7754">
        <w:rPr>
          <w:lang w:val="en-CA"/>
        </w:rPr>
        <w:t xml:space="preserve"> (Weston, Ont. : R</w:t>
      </w:r>
      <w:r w:rsidR="00C54242" w:rsidRPr="00CE7754">
        <w:rPr>
          <w:lang w:val="en-CA"/>
        </w:rPr>
        <w:t xml:space="preserve">. </w:t>
      </w:r>
      <w:r w:rsidRPr="00CE7754">
        <w:rPr>
          <w:lang w:val="en-CA"/>
        </w:rPr>
        <w:t>Holt, 1990) de Ruth Holt et Margaret William</w:t>
      </w:r>
      <w:r w:rsidR="00C54242" w:rsidRPr="00CE7754">
        <w:rPr>
          <w:lang w:val="en-CA"/>
        </w:rPr>
        <w:t xml:space="preserve">. </w:t>
      </w:r>
      <w:r w:rsidRPr="00CE7754">
        <w:t>Vous en trouverez un exemplaire (en anglais) dans la section des publications sur la généalogie de notre salle de lecture.</w:t>
      </w:r>
    </w:p>
    <w:p w14:paraId="4EBF6BF1" w14:textId="35A56DDD" w:rsidR="007D1C39" w:rsidRPr="00CE7754" w:rsidRDefault="007D1C39" w:rsidP="001B3C8F"/>
    <w:p w14:paraId="5ED102BD" w14:textId="028680FA" w:rsidR="007D1C39" w:rsidRPr="00CE7754" w:rsidRDefault="007D1C39" w:rsidP="007D1C39">
      <w:pPr>
        <w:pStyle w:val="Heading2"/>
      </w:pPr>
      <w:bookmarkStart w:id="27" w:name="_Toc105054217"/>
      <w:r w:rsidRPr="00CE7754">
        <w:t>Documenter les transactions foncières privées – le système d’enregistrement immobilier</w:t>
      </w:r>
      <w:bookmarkEnd w:id="27"/>
    </w:p>
    <w:p w14:paraId="1362F1AB" w14:textId="77777777" w:rsidR="007D1C39" w:rsidRPr="00CE7754" w:rsidRDefault="007D1C39" w:rsidP="007D1C39">
      <w:pPr>
        <w:rPr>
          <w:rFonts w:cs="Arial"/>
          <w:b/>
          <w:i/>
          <w:color w:val="000000"/>
        </w:rPr>
      </w:pPr>
    </w:p>
    <w:p w14:paraId="50BC3BA7" w14:textId="201CF9E9" w:rsidR="00B5153C" w:rsidRPr="00CE7754" w:rsidRDefault="00B5153C" w:rsidP="00B5153C">
      <w:pPr>
        <w:rPr>
          <w:rFonts w:cs="Arial"/>
        </w:rPr>
      </w:pPr>
      <w:r w:rsidRPr="00CE7754">
        <w:t>En 1795, l’administration du Haut-Canada a mis en place un processus d’enregistrement des transactions foncières privées (transactions autres que les concessions ou les ventes par la Couronne)</w:t>
      </w:r>
      <w:r w:rsidR="00C54242" w:rsidRPr="00CE7754">
        <w:t xml:space="preserve">. </w:t>
      </w:r>
      <w:r w:rsidRPr="00CE7754">
        <w:t>Lors d’une transaction, les parties pouvaient déposer l’acte de cession (le document de transaction) auprès du bureau d’enregistrement immobilier local (un dans chaque comté et district du nord, deux dans certains). L’enregistrement des transactions privées est devenu obligatoire en 1846.</w:t>
      </w:r>
    </w:p>
    <w:p w14:paraId="604959EC" w14:textId="33805C5A" w:rsidR="00B5153C" w:rsidRPr="00CE7754" w:rsidRDefault="00B5153C" w:rsidP="00B5153C">
      <w:pPr>
        <w:rPr>
          <w:rFonts w:cs="Arial"/>
        </w:rPr>
      </w:pPr>
    </w:p>
    <w:p w14:paraId="5E63C169" w14:textId="32BF3002" w:rsidR="00B5153C" w:rsidRPr="00CE7754" w:rsidRDefault="00B5153C" w:rsidP="00B5153C">
      <w:pPr>
        <w:rPr>
          <w:rFonts w:cs="Arial"/>
        </w:rPr>
      </w:pPr>
      <w:r w:rsidRPr="00CE7754">
        <w:t xml:space="preserve">Pour de plus amples renseignements sur les documents relatifs à l’enregistrement immobilier, </w:t>
      </w:r>
      <w:hyperlink r:id="rId29" w:history="1">
        <w:r w:rsidRPr="00CE7754">
          <w:rPr>
            <w:rStyle w:val="Hyperlink"/>
          </w:rPr>
          <w:t xml:space="preserve">consultez le guide de recherche 231, </w:t>
        </w:r>
        <w:r w:rsidRPr="00CE7754">
          <w:rPr>
            <w:rStyle w:val="Hyperlink"/>
            <w:i/>
            <w:iCs/>
          </w:rPr>
          <w:t>Recherche de documents relatifs à l’enregistrement immobilier</w:t>
        </w:r>
      </w:hyperlink>
      <w:r w:rsidRPr="00CE7754">
        <w:t>. Vous trouverez ce guide et d’autres guides de recherche sous la rubrique « Accédez à nos collections » de notre site Web.</w:t>
      </w:r>
    </w:p>
    <w:p w14:paraId="5BE69A51" w14:textId="4B868D54" w:rsidR="00D223A4" w:rsidRPr="00CE7754" w:rsidRDefault="00D223A4" w:rsidP="003A3835">
      <w:pPr>
        <w:rPr>
          <w:rFonts w:cs="Arial"/>
          <w:color w:val="000000"/>
        </w:rPr>
      </w:pPr>
    </w:p>
    <w:p w14:paraId="4B141D96" w14:textId="152BA399" w:rsidR="00233DDF" w:rsidRPr="00CE7754" w:rsidRDefault="00233DDF" w:rsidP="00233DDF">
      <w:pPr>
        <w:pStyle w:val="Heading2"/>
      </w:pPr>
      <w:bookmarkStart w:id="28" w:name="_Toc105054218"/>
      <w:r w:rsidRPr="00CE7754">
        <w:t>Cartes et plans</w:t>
      </w:r>
      <w:bookmarkEnd w:id="28"/>
    </w:p>
    <w:p w14:paraId="5DBFD6BC" w14:textId="77777777" w:rsidR="00233DDF" w:rsidRPr="00CE7754" w:rsidRDefault="00233DDF" w:rsidP="00233DDF">
      <w:pPr>
        <w:rPr>
          <w:rFonts w:cs="Arial"/>
          <w:b/>
          <w:i/>
          <w:color w:val="000000"/>
        </w:rPr>
      </w:pPr>
    </w:p>
    <w:p w14:paraId="3DEBA9EE" w14:textId="705A876E" w:rsidR="00233DDF" w:rsidRPr="00CE7754" w:rsidRDefault="00233DDF" w:rsidP="00233DDF">
      <w:r w:rsidRPr="00CE7754">
        <w:t>Nos collections comprennent des cartes et des plans qui illustrent les levés, les cantons initiaux, les concessions et les lots, ainsi que les routes et des caractéristiques géographiques</w:t>
      </w:r>
      <w:r w:rsidR="00C54242" w:rsidRPr="00CE7754">
        <w:t xml:space="preserve">. </w:t>
      </w:r>
      <w:r w:rsidRPr="00CE7754">
        <w:t>Certaines mentionnent le nom des propriétaires de terres.</w:t>
      </w:r>
    </w:p>
    <w:p w14:paraId="14E2EC3A" w14:textId="159153F7" w:rsidR="00233DDF" w:rsidRPr="00CE7754" w:rsidRDefault="00C210B2" w:rsidP="00233DDF">
      <w:pPr>
        <w:rPr>
          <w:color w:val="000000"/>
          <w:sz w:val="22"/>
        </w:rPr>
      </w:pPr>
      <w:r>
        <w:rPr>
          <w:color w:val="000000"/>
          <w:sz w:val="22"/>
        </w:rPr>
        <w:br w:type="column"/>
      </w:r>
    </w:p>
    <w:p w14:paraId="032AADA8" w14:textId="27988C1A" w:rsidR="00351C49" w:rsidRPr="00CE7754" w:rsidRDefault="00351C49" w:rsidP="00351C49">
      <w:pPr>
        <w:pStyle w:val="Heading3"/>
        <w:numPr>
          <w:ilvl w:val="0"/>
          <w:numId w:val="42"/>
        </w:numPr>
      </w:pPr>
      <w:bookmarkStart w:id="29" w:name="_Toc105054219"/>
      <w:r w:rsidRPr="00CE7754">
        <w:t>Levés de plans des cantons</w:t>
      </w:r>
      <w:bookmarkEnd w:id="29"/>
    </w:p>
    <w:p w14:paraId="2068B512" w14:textId="77777777" w:rsidR="00233DDF" w:rsidRPr="00CE7754" w:rsidRDefault="00233DDF" w:rsidP="00233DDF">
      <w:pPr>
        <w:rPr>
          <w:color w:val="000000"/>
          <w:sz w:val="22"/>
        </w:rPr>
      </w:pPr>
    </w:p>
    <w:p w14:paraId="6BF72A02" w14:textId="068E5052" w:rsidR="00233DDF" w:rsidRPr="00CE7754" w:rsidRDefault="00233DDF" w:rsidP="00233DDF">
      <w:r w:rsidRPr="00CE7754">
        <w:t>Les premiers levés de plans des cantons illustrent les grilles de levés montrant les lots et les concessions</w:t>
      </w:r>
      <w:r w:rsidR="00C54242" w:rsidRPr="00CE7754">
        <w:t xml:space="preserve">. </w:t>
      </w:r>
      <w:r w:rsidRPr="00CE7754">
        <w:t>Souvent, les plans servaient de copies de bureau ou de travail et on y trouve d’autres renseignements</w:t>
      </w:r>
      <w:r w:rsidR="00C54242" w:rsidRPr="00CE7754">
        <w:t xml:space="preserve">. </w:t>
      </w:r>
      <w:r w:rsidRPr="00CE7754">
        <w:t>Les noms des occupants étaient souvent surimposés sur les grilles des levés.</w:t>
      </w:r>
    </w:p>
    <w:p w14:paraId="041390F5" w14:textId="77777777" w:rsidR="00233DDF" w:rsidRPr="00CE7754" w:rsidRDefault="00233DDF" w:rsidP="00233DDF"/>
    <w:p w14:paraId="437A7263" w14:textId="0DBF8FD0" w:rsidR="00351C49" w:rsidRPr="00CE7754" w:rsidRDefault="00233DDF" w:rsidP="00233DDF">
      <w:pPr>
        <w:rPr>
          <w:szCs w:val="20"/>
        </w:rPr>
      </w:pPr>
      <w:r w:rsidRPr="00CE7754">
        <w:t>Nous disposons de levés de plans produits par le Bureau de l’arpenteur général et d’autres bureaux gouvernementaux</w:t>
      </w:r>
      <w:r w:rsidR="00C54242" w:rsidRPr="00CE7754">
        <w:t xml:space="preserve">. </w:t>
      </w:r>
      <w:r w:rsidRPr="00CE7754">
        <w:t>Pour plus de renseignements sur ces documents et sur la façon d’y accéder :</w:t>
      </w:r>
    </w:p>
    <w:p w14:paraId="7CB045F7" w14:textId="77777777" w:rsidR="00351C49" w:rsidRPr="00CE7754" w:rsidRDefault="00351C49" w:rsidP="00233DDF">
      <w:pPr>
        <w:rPr>
          <w:szCs w:val="20"/>
        </w:rPr>
      </w:pPr>
    </w:p>
    <w:p w14:paraId="1458DD03" w14:textId="6BA17C6A" w:rsidR="00351C49" w:rsidRPr="00CE7754" w:rsidRDefault="00967DD6" w:rsidP="00351C49">
      <w:pPr>
        <w:pStyle w:val="ListParagraph"/>
        <w:numPr>
          <w:ilvl w:val="0"/>
          <w:numId w:val="41"/>
        </w:numPr>
      </w:pPr>
      <w:hyperlink r:id="rId30" w:history="1">
        <w:r w:rsidR="00391F96" w:rsidRPr="00CE7754">
          <w:rPr>
            <w:rStyle w:val="Hyperlink"/>
          </w:rPr>
          <w:t xml:space="preserve">Cliquez ici pour consulter la description de la série C 277, </w:t>
        </w:r>
        <w:r w:rsidR="00391F96" w:rsidRPr="00CE7754">
          <w:rPr>
            <w:rStyle w:val="Hyperlink"/>
            <w:i/>
            <w:iCs/>
          </w:rPr>
          <w:t>Township plan collection</w:t>
        </w:r>
      </w:hyperlink>
      <w:r w:rsidR="00391F96" w:rsidRPr="00CE7754">
        <w:t xml:space="preserve"> (en anglais). </w:t>
      </w:r>
    </w:p>
    <w:p w14:paraId="7DACAECA" w14:textId="2D2ED77C" w:rsidR="00233DDF" w:rsidRPr="00CE7754" w:rsidRDefault="00967DD6" w:rsidP="00351C49">
      <w:pPr>
        <w:pStyle w:val="ListParagraph"/>
        <w:numPr>
          <w:ilvl w:val="0"/>
          <w:numId w:val="41"/>
        </w:numPr>
      </w:pPr>
      <w:hyperlink r:id="rId31" w:history="1">
        <w:r w:rsidR="00391F96" w:rsidRPr="00CE7754">
          <w:rPr>
            <w:rStyle w:val="Hyperlink"/>
          </w:rPr>
          <w:t xml:space="preserve">Cliquez ici pour consulter la description de la série RG 1-470, </w:t>
        </w:r>
        <w:r w:rsidR="00391F96" w:rsidRPr="00CE7754">
          <w:rPr>
            <w:rStyle w:val="Hyperlink"/>
            <w:i/>
            <w:iCs/>
          </w:rPr>
          <w:t xml:space="preserve">Ministry of Natural </w:t>
        </w:r>
        <w:proofErr w:type="spellStart"/>
        <w:r w:rsidR="00391F96" w:rsidRPr="00CE7754">
          <w:rPr>
            <w:rStyle w:val="Hyperlink"/>
            <w:i/>
            <w:iCs/>
          </w:rPr>
          <w:t>Resources</w:t>
        </w:r>
        <w:proofErr w:type="spellEnd"/>
        <w:r w:rsidR="00391F96" w:rsidRPr="00CE7754">
          <w:rPr>
            <w:rStyle w:val="Hyperlink"/>
            <w:i/>
            <w:iCs/>
          </w:rPr>
          <w:t xml:space="preserve"> township </w:t>
        </w:r>
        <w:proofErr w:type="spellStart"/>
        <w:r w:rsidR="00391F96" w:rsidRPr="00CE7754">
          <w:rPr>
            <w:rStyle w:val="Hyperlink"/>
            <w:i/>
            <w:iCs/>
          </w:rPr>
          <w:t>survey</w:t>
        </w:r>
        <w:proofErr w:type="spellEnd"/>
        <w:r w:rsidR="00391F96" w:rsidRPr="00CE7754">
          <w:rPr>
            <w:rStyle w:val="Hyperlink"/>
            <w:i/>
            <w:iCs/>
          </w:rPr>
          <w:t xml:space="preserve"> plans</w:t>
        </w:r>
      </w:hyperlink>
      <w:r w:rsidR="00391F96" w:rsidRPr="00CE7754">
        <w:t xml:space="preserve"> (en anglais).</w:t>
      </w:r>
    </w:p>
    <w:p w14:paraId="64BA6687" w14:textId="77777777" w:rsidR="00233DDF" w:rsidRPr="00CE7754" w:rsidRDefault="00233DDF" w:rsidP="00233DDF"/>
    <w:p w14:paraId="2123CB29" w14:textId="186653AB" w:rsidR="00351C49" w:rsidRPr="00CE7754" w:rsidRDefault="00351C49" w:rsidP="00351C49">
      <w:pPr>
        <w:pStyle w:val="Heading3"/>
        <w:numPr>
          <w:ilvl w:val="0"/>
          <w:numId w:val="42"/>
        </w:numPr>
      </w:pPr>
      <w:bookmarkStart w:id="30" w:name="_Toc105054220"/>
      <w:r w:rsidRPr="00CE7754">
        <w:t>Plans des concessions</w:t>
      </w:r>
      <w:bookmarkEnd w:id="30"/>
    </w:p>
    <w:p w14:paraId="3122D81D" w14:textId="77777777" w:rsidR="00233DDF" w:rsidRPr="00CE7754" w:rsidRDefault="00233DDF" w:rsidP="00233DDF">
      <w:pPr>
        <w:rPr>
          <w:color w:val="000000"/>
          <w:sz w:val="22"/>
        </w:rPr>
      </w:pPr>
    </w:p>
    <w:p w14:paraId="5A6B6C0C" w14:textId="65D91DE4" w:rsidR="00EE041F" w:rsidRPr="00CE7754" w:rsidRDefault="00351C49" w:rsidP="00EE041F">
      <w:pPr>
        <w:tabs>
          <w:tab w:val="right" w:pos="8640"/>
        </w:tabs>
        <w:rPr>
          <w:rFonts w:cs="Arial"/>
        </w:rPr>
      </w:pPr>
      <w:r w:rsidRPr="00CE7754">
        <w:t>Lors de l’octroi ou de la vente d’une terre, le nom du concessionnaire ou de l’acheteur figurait aussi sur le plan du canton – le « plan de concessions »</w:t>
      </w:r>
      <w:r w:rsidR="00C54242" w:rsidRPr="00CE7754">
        <w:t xml:space="preserve">. </w:t>
      </w:r>
      <w:r w:rsidRPr="00CE7754">
        <w:t>Selon les besoins et au fil du temps, ces renseignements ont été mis à jour ou modifiés, et ce, jusqu’en 1970 dans certains cas. Pour bon nombre de cantons, des plans existent en différentes versions ou ne couvrent qu’une partie de la superficie.</w:t>
      </w:r>
    </w:p>
    <w:p w14:paraId="661CFDEB" w14:textId="77777777" w:rsidR="00EE041F" w:rsidRPr="00CE7754" w:rsidRDefault="00EE041F" w:rsidP="00EE041F">
      <w:pPr>
        <w:tabs>
          <w:tab w:val="right" w:pos="8640"/>
        </w:tabs>
        <w:rPr>
          <w:rFonts w:cs="Arial"/>
        </w:rPr>
      </w:pPr>
    </w:p>
    <w:p w14:paraId="0146205A" w14:textId="7E788621" w:rsidR="00EE041F" w:rsidRPr="00CE7754" w:rsidRDefault="00EE041F" w:rsidP="00EE041F">
      <w:pPr>
        <w:tabs>
          <w:tab w:val="right" w:pos="8640"/>
        </w:tabs>
        <w:rPr>
          <w:rFonts w:cs="Arial"/>
        </w:rPr>
      </w:pPr>
      <w:r w:rsidRPr="00CE7754">
        <w:t>Vous pouvez consulter une copie numérisée de presque tous ces plans de concessions sur notre site Web</w:t>
      </w:r>
      <w:r w:rsidR="00C54242" w:rsidRPr="00CE7754">
        <w:t xml:space="preserve">. </w:t>
      </w:r>
      <w:r w:rsidRPr="00CE7754">
        <w:t xml:space="preserve">Pour plus de renseignements sur la façon de </w:t>
      </w:r>
      <w:hyperlink r:id="rId32" w:history="1">
        <w:r w:rsidRPr="00CE7754">
          <w:rPr>
            <w:rStyle w:val="Hyperlink"/>
          </w:rPr>
          <w:t>consulter les plans de concessions numérisés sur notre site Web, cliquez ici</w:t>
        </w:r>
      </w:hyperlink>
      <w:r w:rsidR="00C54242" w:rsidRPr="00CE7754">
        <w:t xml:space="preserve">. </w:t>
      </w:r>
      <w:r w:rsidRPr="00CE7754">
        <w:t>Sur notre site Web, vous trouverez cette page sous la rubrique « Accédez à nos collections ».</w:t>
      </w:r>
    </w:p>
    <w:p w14:paraId="5CBC73A9" w14:textId="7A53D975" w:rsidR="00351C49" w:rsidRPr="00CE7754" w:rsidRDefault="00351C49" w:rsidP="00EE041F">
      <w:pPr>
        <w:tabs>
          <w:tab w:val="right" w:pos="8640"/>
        </w:tabs>
        <w:rPr>
          <w:rFonts w:cs="Arial"/>
        </w:rPr>
      </w:pPr>
    </w:p>
    <w:p w14:paraId="44ADFBCD" w14:textId="77777777" w:rsidR="00351C49" w:rsidRPr="00CE7754" w:rsidRDefault="00351C49" w:rsidP="00351C49">
      <w:pPr>
        <w:tabs>
          <w:tab w:val="right" w:pos="8640"/>
        </w:tabs>
        <w:rPr>
          <w:rFonts w:cs="Arial"/>
        </w:rPr>
      </w:pPr>
      <w:r w:rsidRPr="00CE7754">
        <w:rPr>
          <w:b/>
        </w:rPr>
        <w:t>Comment trouver les plans qui n’ont pas été numérisés?</w:t>
      </w:r>
    </w:p>
    <w:p w14:paraId="61A1C668" w14:textId="77777777" w:rsidR="00351C49" w:rsidRPr="00CE7754" w:rsidRDefault="00351C49" w:rsidP="00351C49">
      <w:pPr>
        <w:tabs>
          <w:tab w:val="right" w:pos="8640"/>
        </w:tabs>
        <w:rPr>
          <w:rFonts w:cs="Arial"/>
        </w:rPr>
      </w:pPr>
    </w:p>
    <w:p w14:paraId="164562F1" w14:textId="5D44FBD6" w:rsidR="00351C49" w:rsidRPr="00CE7754" w:rsidRDefault="00351C49" w:rsidP="00351C49">
      <w:pPr>
        <w:tabs>
          <w:tab w:val="right" w:pos="8640"/>
        </w:tabs>
        <w:rPr>
          <w:rFonts w:cs="Arial"/>
        </w:rPr>
      </w:pPr>
      <w:r w:rsidRPr="00CE7754">
        <w:t xml:space="preserve">Pour plus de renseignements sur les plans de concessions et la liste intégrale, </w:t>
      </w:r>
      <w:hyperlink r:id="rId33" w:history="1">
        <w:r w:rsidRPr="00CE7754">
          <w:rPr>
            <w:rStyle w:val="Hyperlink"/>
          </w:rPr>
          <w:t>cliquez ici pour voir la description (en anglais) de la série RG -100</w:t>
        </w:r>
      </w:hyperlink>
      <w:r w:rsidR="00C54242" w:rsidRPr="00CE7754">
        <w:t xml:space="preserve">. </w:t>
      </w:r>
      <w:r w:rsidRPr="00CE7754">
        <w:t>Vous pouvez aussi :</w:t>
      </w:r>
    </w:p>
    <w:p w14:paraId="7D044882" w14:textId="77777777" w:rsidR="00EF28BA" w:rsidRPr="00CE7754" w:rsidRDefault="00EF28BA" w:rsidP="00351C49">
      <w:pPr>
        <w:tabs>
          <w:tab w:val="right" w:pos="8640"/>
        </w:tabs>
        <w:rPr>
          <w:rFonts w:cs="Arial"/>
        </w:rPr>
      </w:pPr>
    </w:p>
    <w:p w14:paraId="7EF1853F" w14:textId="1A756031" w:rsidR="00351C49" w:rsidRPr="00CE7754" w:rsidRDefault="00967DD6" w:rsidP="00351C49">
      <w:pPr>
        <w:pStyle w:val="ListParagraph"/>
        <w:numPr>
          <w:ilvl w:val="0"/>
          <w:numId w:val="33"/>
        </w:numPr>
        <w:tabs>
          <w:tab w:val="right" w:pos="8640"/>
        </w:tabs>
        <w:rPr>
          <w:rFonts w:cs="Arial"/>
        </w:rPr>
      </w:pPr>
      <w:hyperlink r:id="rId34" w:history="1">
        <w:proofErr w:type="gramStart"/>
        <w:r w:rsidR="00391F96" w:rsidRPr="00CE7754">
          <w:rPr>
            <w:rStyle w:val="Hyperlink"/>
          </w:rPr>
          <w:t>cliquer</w:t>
        </w:r>
        <w:proofErr w:type="gramEnd"/>
        <w:r w:rsidR="00391F96" w:rsidRPr="00CE7754">
          <w:rPr>
            <w:rStyle w:val="Hyperlink"/>
          </w:rPr>
          <w:t xml:space="preserve"> ici pour chercher des dossiers et des éléments dans la Base de données des descriptions des documents d’archives</w:t>
        </w:r>
      </w:hyperlink>
      <w:r w:rsidR="00391F96" w:rsidRPr="00CE7754">
        <w:t xml:space="preserve">, ou cliquer sur « Advanced </w:t>
      </w:r>
      <w:proofErr w:type="spellStart"/>
      <w:r w:rsidR="00391F96" w:rsidRPr="00CE7754">
        <w:t>Search</w:t>
      </w:r>
      <w:proofErr w:type="spellEnd"/>
      <w:r w:rsidR="00391F96" w:rsidRPr="00CE7754">
        <w:t> » (recherche avancée) puis sur « </w:t>
      </w:r>
      <w:proofErr w:type="spellStart"/>
      <w:r w:rsidR="00391F96" w:rsidRPr="00CE7754">
        <w:t>Search</w:t>
      </w:r>
      <w:proofErr w:type="spellEnd"/>
      <w:r w:rsidR="00391F96" w:rsidRPr="00CE7754">
        <w:t xml:space="preserve"> Files and Items » (chercher les dossiers et les éléments).</w:t>
      </w:r>
    </w:p>
    <w:p w14:paraId="1291CFF4" w14:textId="77777777" w:rsidR="00351C49" w:rsidRPr="00CE7754" w:rsidRDefault="00351C49" w:rsidP="00351C49">
      <w:pPr>
        <w:pStyle w:val="ListParagraph"/>
        <w:numPr>
          <w:ilvl w:val="0"/>
          <w:numId w:val="33"/>
        </w:numPr>
        <w:tabs>
          <w:tab w:val="right" w:pos="8640"/>
        </w:tabs>
        <w:rPr>
          <w:rFonts w:cs="Arial"/>
        </w:rPr>
      </w:pPr>
      <w:proofErr w:type="gramStart"/>
      <w:r w:rsidRPr="00CE7754">
        <w:t>entrer</w:t>
      </w:r>
      <w:proofErr w:type="gramEnd"/>
      <w:r w:rsidRPr="00CE7754">
        <w:t xml:space="preserve"> le code de référence RG 1-100 et le nom du canton ou de la ville.</w:t>
      </w:r>
    </w:p>
    <w:p w14:paraId="072C9450" w14:textId="77777777" w:rsidR="00233DDF" w:rsidRPr="00CE7754" w:rsidRDefault="00233DDF" w:rsidP="00233DDF">
      <w:pPr>
        <w:rPr>
          <w:color w:val="000000"/>
          <w:sz w:val="22"/>
        </w:rPr>
      </w:pPr>
    </w:p>
    <w:p w14:paraId="112E5024" w14:textId="2313E0E8" w:rsidR="00674A3E" w:rsidRPr="00CE7754" w:rsidRDefault="00674A3E" w:rsidP="00674A3E">
      <w:pPr>
        <w:pStyle w:val="Heading3"/>
        <w:numPr>
          <w:ilvl w:val="0"/>
          <w:numId w:val="42"/>
        </w:numPr>
      </w:pPr>
      <w:bookmarkStart w:id="31" w:name="_Toc105054221"/>
      <w:r w:rsidRPr="00CE7754">
        <w:t>Autres cartes et plans</w:t>
      </w:r>
      <w:bookmarkEnd w:id="31"/>
    </w:p>
    <w:p w14:paraId="127B1AF5" w14:textId="77777777" w:rsidR="00233DDF" w:rsidRPr="00CE7754" w:rsidRDefault="00233DDF" w:rsidP="00233DDF">
      <w:pPr>
        <w:rPr>
          <w:color w:val="000000"/>
          <w:sz w:val="22"/>
        </w:rPr>
      </w:pPr>
    </w:p>
    <w:p w14:paraId="17C5E4CD" w14:textId="30B4BD15" w:rsidR="00233DDF" w:rsidRPr="00CE7754" w:rsidRDefault="00233DDF" w:rsidP="00233DDF">
      <w:r w:rsidRPr="00CE7754">
        <w:t>En plus des cartes créées dans le cadre du processus d’arpentage et de concession des terres, notre collection comprend diverses cartes qui documentent l’utilisation et l’occupation des terres.</w:t>
      </w:r>
    </w:p>
    <w:p w14:paraId="1DE73E01" w14:textId="77777777" w:rsidR="00233DDF" w:rsidRPr="00CE7754" w:rsidRDefault="00233DDF" w:rsidP="00233DDF"/>
    <w:p w14:paraId="4B426250" w14:textId="175223D1" w:rsidR="00233DDF" w:rsidRPr="00CE7754" w:rsidRDefault="00233DDF" w:rsidP="00233DDF">
      <w:r w:rsidRPr="00CE7754">
        <w:t xml:space="preserve">L’ouvrage </w:t>
      </w:r>
      <w:r w:rsidRPr="00CE7754">
        <w:rPr>
          <w:rStyle w:val="Emphasis"/>
        </w:rPr>
        <w:t xml:space="preserve">Mapping </w:t>
      </w:r>
      <w:proofErr w:type="spellStart"/>
      <w:r w:rsidRPr="00CE7754">
        <w:rPr>
          <w:rStyle w:val="Emphasis"/>
        </w:rPr>
        <w:t>Upper</w:t>
      </w:r>
      <w:proofErr w:type="spellEnd"/>
      <w:r w:rsidRPr="00CE7754">
        <w:rPr>
          <w:rStyle w:val="Emphasis"/>
        </w:rPr>
        <w:t xml:space="preserve"> Canada, 1780-1867 : An </w:t>
      </w:r>
      <w:proofErr w:type="spellStart"/>
      <w:r w:rsidRPr="00CE7754">
        <w:rPr>
          <w:rStyle w:val="Emphasis"/>
        </w:rPr>
        <w:t>Annotated</w:t>
      </w:r>
      <w:proofErr w:type="spellEnd"/>
      <w:r w:rsidRPr="00CE7754">
        <w:rPr>
          <w:rStyle w:val="Emphasis"/>
        </w:rPr>
        <w:t xml:space="preserve"> Bibliography of </w:t>
      </w:r>
      <w:proofErr w:type="spellStart"/>
      <w:r w:rsidRPr="00CE7754">
        <w:rPr>
          <w:rStyle w:val="Emphasis"/>
        </w:rPr>
        <w:t>Manuscript</w:t>
      </w:r>
      <w:proofErr w:type="spellEnd"/>
      <w:r w:rsidRPr="00CE7754">
        <w:rPr>
          <w:rStyle w:val="Emphasis"/>
        </w:rPr>
        <w:t xml:space="preserve"> and </w:t>
      </w:r>
      <w:proofErr w:type="spellStart"/>
      <w:r w:rsidRPr="00CE7754">
        <w:rPr>
          <w:rStyle w:val="Emphasis"/>
        </w:rPr>
        <w:t>Print</w:t>
      </w:r>
      <w:proofErr w:type="spellEnd"/>
      <w:r w:rsidRPr="00CE7754">
        <w:rPr>
          <w:rStyle w:val="Emphasis"/>
        </w:rPr>
        <w:t xml:space="preserve"> </w:t>
      </w:r>
      <w:proofErr w:type="spellStart"/>
      <w:r w:rsidRPr="00CE7754">
        <w:rPr>
          <w:rStyle w:val="Emphasis"/>
        </w:rPr>
        <w:t>Maps</w:t>
      </w:r>
      <w:proofErr w:type="spellEnd"/>
      <w:r w:rsidRPr="00CE7754">
        <w:t>, de Joan </w:t>
      </w:r>
      <w:proofErr w:type="spellStart"/>
      <w:r w:rsidRPr="00CE7754">
        <w:t>Winnear</w:t>
      </w:r>
      <w:proofErr w:type="spellEnd"/>
      <w:r w:rsidRPr="00CE7754">
        <w:t xml:space="preserve"> (Toronto, </w:t>
      </w:r>
      <w:proofErr w:type="spellStart"/>
      <w:r w:rsidRPr="00CE7754">
        <w:t>University</w:t>
      </w:r>
      <w:proofErr w:type="spellEnd"/>
      <w:r w:rsidRPr="00CE7754">
        <w:t xml:space="preserve"> of Toronto </w:t>
      </w:r>
      <w:proofErr w:type="spellStart"/>
      <w:r w:rsidRPr="00CE7754">
        <w:t>Press</w:t>
      </w:r>
      <w:proofErr w:type="spellEnd"/>
      <w:r w:rsidRPr="00CE7754">
        <w:t>, 1991) dresse une liste des cartes et des plans produits entre 1780 et 1867, l’année de la Confédération</w:t>
      </w:r>
      <w:r w:rsidR="00C54242" w:rsidRPr="00CE7754">
        <w:t xml:space="preserve">. </w:t>
      </w:r>
      <w:r w:rsidRPr="00CE7754">
        <w:t xml:space="preserve">Pour consulter ce volume dans notre salle de lecture, parlez à un archiviste de référence au comptoir de référence. </w:t>
      </w:r>
    </w:p>
    <w:bookmarkEnd w:id="23"/>
    <w:p w14:paraId="54BB34A6" w14:textId="7187A683" w:rsidR="00EB1061" w:rsidRPr="00CE7754" w:rsidRDefault="00EB1061" w:rsidP="00EB1061">
      <w:pPr>
        <w:rPr>
          <w:lang w:eastAsia="fr-CA"/>
        </w:rPr>
      </w:pPr>
    </w:p>
    <w:p w14:paraId="7C0BE4ED" w14:textId="6F5A4351" w:rsidR="005B2CA1" w:rsidRPr="00CE7754" w:rsidRDefault="005B2CA1" w:rsidP="00EB1061">
      <w:pPr>
        <w:rPr>
          <w:lang w:eastAsia="fr-CA"/>
        </w:rPr>
      </w:pPr>
    </w:p>
    <w:p w14:paraId="74D577EE" w14:textId="7C676B34" w:rsidR="005B2CA1" w:rsidRPr="00CE7754" w:rsidRDefault="005B2CA1" w:rsidP="00EB1061">
      <w:pPr>
        <w:rPr>
          <w:lang w:eastAsia="fr-CA"/>
        </w:rPr>
      </w:pPr>
    </w:p>
    <w:p w14:paraId="2688A3F3" w14:textId="0D580756" w:rsidR="005B2CA1" w:rsidRPr="00CE7754" w:rsidRDefault="005B2CA1" w:rsidP="00EB1061">
      <w:pPr>
        <w:rPr>
          <w:lang w:eastAsia="fr-CA"/>
        </w:rPr>
      </w:pPr>
    </w:p>
    <w:p w14:paraId="051E283E" w14:textId="03B2E5D7" w:rsidR="005B2CA1" w:rsidRPr="00CE7754" w:rsidRDefault="005B2CA1" w:rsidP="00EB1061">
      <w:pPr>
        <w:rPr>
          <w:lang w:eastAsia="fr-CA"/>
        </w:rPr>
      </w:pPr>
    </w:p>
    <w:p w14:paraId="01280F06" w14:textId="68248959" w:rsidR="005B2CA1" w:rsidRPr="00CE7754" w:rsidRDefault="005B2CA1" w:rsidP="00EB1061">
      <w:pPr>
        <w:rPr>
          <w:lang w:eastAsia="fr-CA"/>
        </w:rPr>
      </w:pPr>
    </w:p>
    <w:p w14:paraId="5CB5FDA3" w14:textId="6538CC5F" w:rsidR="005B2CA1" w:rsidRPr="00CE7754" w:rsidRDefault="005B2CA1" w:rsidP="00EB1061">
      <w:pPr>
        <w:rPr>
          <w:lang w:eastAsia="fr-CA"/>
        </w:rPr>
      </w:pPr>
    </w:p>
    <w:p w14:paraId="4F053C64" w14:textId="62BD8287" w:rsidR="005B2CA1" w:rsidRPr="00CE7754" w:rsidRDefault="005B2CA1" w:rsidP="00EB1061">
      <w:pPr>
        <w:rPr>
          <w:lang w:eastAsia="fr-CA"/>
        </w:rPr>
      </w:pPr>
    </w:p>
    <w:p w14:paraId="1B455B9F" w14:textId="511B987C" w:rsidR="005B2CA1" w:rsidRPr="00CE7754" w:rsidRDefault="005B2CA1" w:rsidP="00EB1061">
      <w:pPr>
        <w:rPr>
          <w:lang w:eastAsia="fr-CA"/>
        </w:rPr>
      </w:pPr>
    </w:p>
    <w:p w14:paraId="2AB5A7F0" w14:textId="756038DF" w:rsidR="005B2CA1" w:rsidRPr="00CE7754" w:rsidRDefault="005B2CA1" w:rsidP="00EB1061">
      <w:pPr>
        <w:rPr>
          <w:lang w:eastAsia="fr-CA"/>
        </w:rPr>
      </w:pPr>
    </w:p>
    <w:p w14:paraId="0772AA57" w14:textId="45916A3F" w:rsidR="005B2CA1" w:rsidRPr="00CE7754" w:rsidRDefault="005B2CA1" w:rsidP="00EB1061">
      <w:pPr>
        <w:rPr>
          <w:lang w:eastAsia="fr-CA"/>
        </w:rPr>
      </w:pPr>
    </w:p>
    <w:p w14:paraId="76A5D14B" w14:textId="6DDB8778" w:rsidR="005B2CA1" w:rsidRPr="00CE7754" w:rsidRDefault="005B2CA1" w:rsidP="00EB1061">
      <w:pPr>
        <w:rPr>
          <w:lang w:eastAsia="fr-CA"/>
        </w:rPr>
      </w:pPr>
    </w:p>
    <w:p w14:paraId="19E903F4" w14:textId="00203FC6" w:rsidR="005B2CA1" w:rsidRPr="00CE7754" w:rsidRDefault="005B2CA1" w:rsidP="00EB1061">
      <w:pPr>
        <w:rPr>
          <w:lang w:eastAsia="fr-CA"/>
        </w:rPr>
      </w:pPr>
    </w:p>
    <w:p w14:paraId="703B476C" w14:textId="4E128C42" w:rsidR="005B2CA1" w:rsidRPr="00CE7754" w:rsidRDefault="005B2CA1" w:rsidP="00EB1061">
      <w:pPr>
        <w:rPr>
          <w:lang w:eastAsia="fr-CA"/>
        </w:rPr>
      </w:pPr>
    </w:p>
    <w:p w14:paraId="389B903A" w14:textId="6E7D6ABA" w:rsidR="005B2CA1" w:rsidRPr="00CE7754" w:rsidRDefault="005B2CA1" w:rsidP="00EB1061">
      <w:pPr>
        <w:rPr>
          <w:lang w:eastAsia="fr-CA"/>
        </w:rPr>
      </w:pPr>
    </w:p>
    <w:p w14:paraId="5C744A18" w14:textId="5FA47088" w:rsidR="00CE7754" w:rsidRDefault="00CE7754">
      <w:pPr>
        <w:rPr>
          <w:lang w:eastAsia="fr-CA"/>
        </w:rPr>
      </w:pPr>
      <w:r>
        <w:rPr>
          <w:lang w:eastAsia="fr-CA"/>
        </w:rPr>
        <w:br w:type="page"/>
      </w:r>
    </w:p>
    <w:p w14:paraId="427DF968" w14:textId="77777777" w:rsidR="005B2CA1" w:rsidRPr="00CE7754" w:rsidRDefault="005B2CA1" w:rsidP="00EB1061">
      <w:pPr>
        <w:rPr>
          <w:lang w:eastAsia="fr-CA"/>
        </w:rPr>
      </w:pPr>
    </w:p>
    <w:p w14:paraId="4C382518" w14:textId="5A9F197E" w:rsidR="00BF1FC1" w:rsidRDefault="0001688C" w:rsidP="00BF1FC1">
      <w:pPr>
        <w:pStyle w:val="Heading1"/>
        <w:rPr>
          <w:rStyle w:val="eop"/>
          <w:lang w:val="en-CA"/>
        </w:rPr>
      </w:pPr>
      <w:bookmarkStart w:id="32" w:name="_Toc105054222"/>
      <w:r w:rsidRPr="0001688C">
        <w:rPr>
          <w:rStyle w:val="eop"/>
          <w:lang w:val="en-CA"/>
        </w:rPr>
        <w:t xml:space="preserve">Comment </w:t>
      </w:r>
      <w:proofErr w:type="spellStart"/>
      <w:r w:rsidRPr="0001688C">
        <w:rPr>
          <w:rStyle w:val="eop"/>
          <w:lang w:val="en-CA"/>
        </w:rPr>
        <w:t>accéder</w:t>
      </w:r>
      <w:proofErr w:type="spellEnd"/>
      <w:r w:rsidRPr="0001688C">
        <w:rPr>
          <w:rStyle w:val="eop"/>
          <w:lang w:val="en-CA"/>
        </w:rPr>
        <w:t xml:space="preserve"> aux descriptions </w:t>
      </w:r>
      <w:proofErr w:type="spellStart"/>
      <w:r w:rsidRPr="0001688C">
        <w:rPr>
          <w:rStyle w:val="eop"/>
          <w:lang w:val="en-CA"/>
        </w:rPr>
        <w:t>en</w:t>
      </w:r>
      <w:proofErr w:type="spellEnd"/>
      <w:r w:rsidRPr="0001688C">
        <w:rPr>
          <w:rStyle w:val="eop"/>
          <w:lang w:val="en-CA"/>
        </w:rPr>
        <w:t xml:space="preserve"> </w:t>
      </w:r>
      <w:proofErr w:type="spellStart"/>
      <w:r w:rsidRPr="0001688C">
        <w:rPr>
          <w:rStyle w:val="eop"/>
          <w:lang w:val="en-CA"/>
        </w:rPr>
        <w:t>ligne</w:t>
      </w:r>
      <w:proofErr w:type="spellEnd"/>
      <w:r w:rsidRPr="0001688C">
        <w:rPr>
          <w:rStyle w:val="eop"/>
          <w:lang w:val="en-CA"/>
        </w:rPr>
        <w:t>?</w:t>
      </w:r>
      <w:bookmarkEnd w:id="32"/>
      <w:r w:rsidR="00BF1FC1" w:rsidRPr="00CE7754">
        <w:rPr>
          <w:rStyle w:val="eop"/>
          <w:lang w:val="en-CA"/>
        </w:rPr>
        <w:t> </w:t>
      </w:r>
    </w:p>
    <w:p w14:paraId="21161DBE" w14:textId="77777777" w:rsidR="001659C8" w:rsidRPr="001659C8" w:rsidRDefault="001659C8" w:rsidP="001659C8">
      <w:pPr>
        <w:rPr>
          <w:lang w:val="en-CA"/>
        </w:rPr>
      </w:pPr>
    </w:p>
    <w:p w14:paraId="49C26A1D" w14:textId="77777777" w:rsidR="001659C8" w:rsidRPr="008E1E67" w:rsidRDefault="00BF1FC1" w:rsidP="001659C8">
      <w:pPr>
        <w:pStyle w:val="paragraph"/>
        <w:numPr>
          <w:ilvl w:val="0"/>
          <w:numId w:val="2"/>
        </w:numPr>
        <w:tabs>
          <w:tab w:val="clear" w:pos="720"/>
          <w:tab w:val="left" w:pos="360"/>
        </w:tabs>
        <w:spacing w:before="0" w:beforeAutospacing="0" w:after="0" w:afterAutospacing="0"/>
        <w:ind w:left="0" w:firstLine="0"/>
        <w:textAlignment w:val="baseline"/>
        <w:rPr>
          <w:rStyle w:val="eop"/>
          <w:rFonts w:ascii="Arial" w:hAnsi="Arial" w:cs="Arial"/>
        </w:rPr>
      </w:pPr>
      <w:r w:rsidRPr="00CE7754">
        <w:rPr>
          <w:rStyle w:val="eop"/>
          <w:rFonts w:ascii="Arial" w:hAnsi="Arial"/>
          <w:lang w:val="en-US"/>
        </w:rPr>
        <w:t> </w:t>
      </w:r>
      <w:bookmarkStart w:id="33" w:name="_Hlk72497799"/>
      <w:r w:rsidR="001659C8" w:rsidRPr="008D332D">
        <w:rPr>
          <w:rStyle w:val="normaltextrun"/>
          <w:rFonts w:ascii="Arial" w:hAnsi="Arial" w:cs="Arial"/>
          <w:color w:val="000000"/>
          <w:shd w:val="clear" w:color="auto" w:fill="FFFFFF"/>
        </w:rPr>
        <w:t>Sur la page</w:t>
      </w:r>
      <w:r w:rsidR="001659C8" w:rsidRPr="005531B1">
        <w:rPr>
          <w:rStyle w:val="normaltextrun"/>
          <w:rFonts w:ascii="Arial" w:hAnsi="Arial" w:cs="Arial"/>
          <w:color w:val="000000"/>
          <w:shd w:val="clear" w:color="auto" w:fill="FFFFFF"/>
        </w:rPr>
        <w:t xml:space="preserve"> principale de notre site Web, cliquez sur </w:t>
      </w:r>
      <w:bookmarkStart w:id="34" w:name="_Hlk61868351"/>
      <w:r w:rsidR="001659C8" w:rsidRPr="005531B1">
        <w:rPr>
          <w:rStyle w:val="normaltextrun"/>
          <w:rFonts w:ascii="Arial" w:hAnsi="Arial" w:cs="Arial"/>
          <w:color w:val="000000"/>
          <w:shd w:val="clear" w:color="auto" w:fill="FFFFFF"/>
        </w:rPr>
        <w:t xml:space="preserve">« Accédez à nos collections » </w:t>
      </w:r>
      <w:bookmarkEnd w:id="34"/>
      <w:r w:rsidR="001659C8" w:rsidRPr="005531B1">
        <w:rPr>
          <w:rStyle w:val="normaltextrun"/>
          <w:rFonts w:ascii="Arial" w:hAnsi="Arial" w:cs="Arial"/>
          <w:color w:val="000000"/>
          <w:shd w:val="clear" w:color="auto" w:fill="FFFFFF"/>
        </w:rPr>
        <w:t>et cliquez sur « Base de données des descriptions des documents d’archives », comme le montre l’image ci-dessous : </w:t>
      </w:r>
      <w:r w:rsidR="001659C8" w:rsidRPr="005531B1">
        <w:rPr>
          <w:rStyle w:val="eop"/>
          <w:rFonts w:ascii="Arial" w:hAnsi="Arial" w:cs="Arial"/>
        </w:rPr>
        <w:t> </w:t>
      </w:r>
    </w:p>
    <w:p w14:paraId="426DC2E9" w14:textId="77777777" w:rsidR="001659C8" w:rsidRPr="005531B1" w:rsidRDefault="001659C8" w:rsidP="001659C8">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2AECD0C1" wp14:editId="5A114637">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4675505"/>
                    </a:xfrm>
                    <a:prstGeom prst="rect">
                      <a:avLst/>
                    </a:prstGeom>
                  </pic:spPr>
                </pic:pic>
              </a:graphicData>
            </a:graphic>
          </wp:inline>
        </w:drawing>
      </w:r>
    </w:p>
    <w:p w14:paraId="07DB3F76" w14:textId="77777777" w:rsidR="001659C8" w:rsidRPr="005531B1" w:rsidRDefault="001659C8" w:rsidP="001659C8">
      <w:pPr>
        <w:pStyle w:val="paragraph"/>
        <w:spacing w:before="0" w:beforeAutospacing="0" w:after="0" w:afterAutospacing="0"/>
        <w:textAlignment w:val="baseline"/>
        <w:rPr>
          <w:rFonts w:ascii="Arial" w:hAnsi="Arial" w:cs="Arial"/>
        </w:rPr>
      </w:pPr>
    </w:p>
    <w:p w14:paraId="011E4B0B" w14:textId="77777777" w:rsidR="001659C8" w:rsidRDefault="001659C8" w:rsidP="001659C8">
      <w:pPr>
        <w:pStyle w:val="paragraph"/>
        <w:numPr>
          <w:ilvl w:val="0"/>
          <w:numId w:val="3"/>
        </w:numPr>
        <w:tabs>
          <w:tab w:val="clear" w:pos="720"/>
          <w:tab w:val="num" w:pos="360"/>
        </w:tabs>
        <w:spacing w:before="0" w:beforeAutospacing="0" w:after="0" w:afterAutospacing="0"/>
        <w:ind w:left="36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023188D1" w14:textId="77777777" w:rsidR="001659C8" w:rsidRPr="005531B1" w:rsidRDefault="001659C8" w:rsidP="001659C8">
      <w:pPr>
        <w:pStyle w:val="paragraph"/>
        <w:spacing w:before="0" w:beforeAutospacing="0" w:after="0" w:afterAutospacing="0"/>
        <w:ind w:left="720"/>
        <w:textAlignment w:val="baseline"/>
        <w:rPr>
          <w:rStyle w:val="normaltextrun"/>
          <w:rFonts w:ascii="Arial" w:hAnsi="Arial" w:cs="Arial"/>
        </w:rPr>
      </w:pPr>
    </w:p>
    <w:p w14:paraId="415A66A9" w14:textId="77777777" w:rsidR="001659C8" w:rsidRPr="005531B1" w:rsidRDefault="001659C8" w:rsidP="001659C8">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4421313A" w14:textId="77777777" w:rsidR="001659C8" w:rsidRPr="005531B1" w:rsidRDefault="001659C8" w:rsidP="001659C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486A68C5" w14:textId="77777777" w:rsidR="001659C8" w:rsidRPr="005531B1" w:rsidRDefault="001659C8" w:rsidP="001659C8">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63BF9E78" wp14:editId="492F506A">
            <wp:extent cx="4933950" cy="3457575"/>
            <wp:effectExtent l="0" t="0" r="0" b="9525"/>
            <wp:docPr id="7" name="Picture 7"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35421A38" w14:textId="2082F6ED" w:rsidR="001659C8" w:rsidRPr="005531B1" w:rsidRDefault="001659C8" w:rsidP="001659C8">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4.</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43F4A937" w14:textId="77777777" w:rsidR="001659C8" w:rsidRPr="005531B1" w:rsidRDefault="001659C8" w:rsidP="001659C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1C0C78C7" w14:textId="77777777" w:rsidR="001659C8" w:rsidRPr="005531B1" w:rsidRDefault="001659C8" w:rsidP="001659C8">
      <w:pPr>
        <w:pStyle w:val="paragraph"/>
        <w:spacing w:before="0" w:beforeAutospacing="0" w:after="0" w:afterAutospacing="0"/>
        <w:jc w:val="center"/>
        <w:textAlignment w:val="baseline"/>
        <w:rPr>
          <w:rFonts w:ascii="Arial" w:hAnsi="Arial" w:cs="Arial"/>
        </w:rPr>
      </w:pPr>
      <w:r>
        <w:rPr>
          <w:noProof/>
        </w:rPr>
        <w:drawing>
          <wp:inline distT="0" distB="0" distL="0" distR="0" wp14:anchorId="372CBEC9" wp14:editId="4A9FFB69">
            <wp:extent cx="5629275" cy="3495675"/>
            <wp:effectExtent l="0" t="0" r="9525" b="9525"/>
            <wp:docPr id="2" name="Picture 2"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25821CF2" w14:textId="3F138B5E" w:rsidR="001659C8" w:rsidRPr="008E1E67" w:rsidRDefault="001659C8" w:rsidP="001659C8">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5.</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33"/>
    </w:p>
    <w:p w14:paraId="7D54CE1A" w14:textId="0B9D41AA" w:rsidR="00BF1FC1" w:rsidRPr="00CE7754" w:rsidRDefault="00BF1FC1" w:rsidP="001659C8">
      <w:pPr>
        <w:pStyle w:val="paragraph"/>
        <w:spacing w:before="0" w:beforeAutospacing="0" w:after="0" w:afterAutospacing="0"/>
        <w:textAlignment w:val="baseline"/>
        <w:rPr>
          <w:rFonts w:ascii="Arial" w:hAnsi="Arial" w:cs="Arial"/>
          <w:lang w:val="en-CA"/>
        </w:rPr>
      </w:pPr>
    </w:p>
    <w:p w14:paraId="3973AE76" w14:textId="77777777" w:rsidR="00BF1FC1" w:rsidRPr="00CE7754" w:rsidRDefault="00BF1FC1" w:rsidP="00BF1FC1">
      <w:pPr>
        <w:pStyle w:val="NormalWeb"/>
        <w:spacing w:before="0" w:beforeAutospacing="0" w:after="0"/>
        <w:rPr>
          <w:rFonts w:ascii="Arial" w:hAnsi="Arial" w:cs="Arial"/>
          <w:lang w:val="en-US"/>
        </w:rPr>
      </w:pPr>
    </w:p>
    <w:p w14:paraId="25F8B7D1" w14:textId="25C2A289" w:rsidR="00BF1FC1" w:rsidRDefault="0001688C" w:rsidP="00BF1FC1">
      <w:pPr>
        <w:pStyle w:val="Heading1"/>
      </w:pPr>
      <w:bookmarkStart w:id="35" w:name="_Toc105054223"/>
      <w:r w:rsidRPr="00156019">
        <w:t>Pour nous joindre</w:t>
      </w:r>
      <w:bookmarkEnd w:id="35"/>
    </w:p>
    <w:p w14:paraId="36E21ACA" w14:textId="77777777" w:rsidR="0001688C" w:rsidRPr="0001688C" w:rsidRDefault="0001688C" w:rsidP="0001688C"/>
    <w:p w14:paraId="2C232183" w14:textId="77777777" w:rsidR="00607D0A" w:rsidRPr="00EA3301" w:rsidRDefault="00607D0A" w:rsidP="00607D0A">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Même si nous ne pouvons pas </w:t>
      </w:r>
      <w:proofErr w:type="gramStart"/>
      <w:r w:rsidRPr="00EA3301">
        <w:rPr>
          <w:rStyle w:val="normaltextrun"/>
          <w:rFonts w:ascii="Arial" w:hAnsi="Arial" w:cs="Arial"/>
        </w:rPr>
        <w:t>faire</w:t>
      </w:r>
      <w:proofErr w:type="gramEnd"/>
      <w:r w:rsidRPr="00EA3301">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EA3301">
        <w:rPr>
          <w:rStyle w:val="eop"/>
          <w:rFonts w:ascii="Arial" w:hAnsi="Arial" w:cs="Arial"/>
        </w:rPr>
        <w:t> </w:t>
      </w:r>
    </w:p>
    <w:p w14:paraId="5AC968EB" w14:textId="77777777" w:rsidR="00607D0A" w:rsidRPr="00EA3301" w:rsidRDefault="00607D0A" w:rsidP="00607D0A">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7BCAE066" w14:textId="77777777" w:rsidR="00607D0A" w:rsidRPr="00EA3301" w:rsidRDefault="00607D0A" w:rsidP="00607D0A">
      <w:pPr>
        <w:pStyle w:val="paragraph"/>
        <w:spacing w:before="0" w:beforeAutospacing="0" w:after="0" w:afterAutospacing="0"/>
        <w:textAlignment w:val="baseline"/>
        <w:rPr>
          <w:rFonts w:ascii="Arial" w:hAnsi="Arial" w:cs="Arial"/>
          <w:sz w:val="18"/>
          <w:szCs w:val="18"/>
        </w:rPr>
      </w:pPr>
      <w:bookmarkStart w:id="36" w:name="_Hlk62475489"/>
      <w:r w:rsidRPr="00EA3301">
        <w:rPr>
          <w:rStyle w:val="normaltextrun"/>
          <w:rFonts w:ascii="Arial" w:hAnsi="Arial" w:cs="Arial"/>
          <w:b/>
        </w:rPr>
        <w:t>Téléphone : 416 327-1600 Sans frais (Ontario) : 1 800 668-9933</w:t>
      </w:r>
      <w:r w:rsidRPr="00EA3301">
        <w:rPr>
          <w:rStyle w:val="eop"/>
          <w:rFonts w:ascii="Arial" w:hAnsi="Arial" w:cs="Arial"/>
        </w:rPr>
        <w:t> </w:t>
      </w:r>
    </w:p>
    <w:p w14:paraId="310FB1E0" w14:textId="77777777" w:rsidR="00607D0A" w:rsidRPr="00EA3301" w:rsidRDefault="00607D0A" w:rsidP="00607D0A">
      <w:pPr>
        <w:pStyle w:val="paragraph"/>
        <w:spacing w:before="0" w:beforeAutospacing="0" w:after="0" w:afterAutospacing="0"/>
        <w:ind w:left="1170" w:hanging="1170"/>
        <w:textAlignment w:val="baseline"/>
        <w:rPr>
          <w:rFonts w:ascii="Arial" w:hAnsi="Arial" w:cs="Arial"/>
          <w:sz w:val="18"/>
          <w:szCs w:val="18"/>
        </w:rPr>
      </w:pPr>
      <w:r w:rsidRPr="00EA3301">
        <w:rPr>
          <w:rStyle w:val="normaltextrun"/>
          <w:rFonts w:ascii="Arial" w:hAnsi="Arial" w:cs="Arial"/>
          <w:b/>
        </w:rPr>
        <w:t xml:space="preserve">Courriel : </w:t>
      </w:r>
      <w:hyperlink r:id="rId38">
        <w:r w:rsidRPr="00EA3301">
          <w:rPr>
            <w:rStyle w:val="normaltextrun"/>
            <w:rFonts w:ascii="Arial" w:hAnsi="Arial" w:cs="Arial"/>
            <w:color w:val="0000FF"/>
            <w:u w:val="single"/>
          </w:rPr>
          <w:t>Cliquez ici pour envoyer un courriel aux Archives publiques de l’Ontario</w:t>
        </w:r>
      </w:hyperlink>
      <w:r w:rsidRPr="00EA3301">
        <w:rPr>
          <w:rStyle w:val="normaltextrun"/>
          <w:rFonts w:ascii="Arial" w:hAnsi="Arial" w:cs="Arial"/>
        </w:rPr>
        <w:t xml:space="preserve">. L’adresse électronique est la suivante : </w:t>
      </w:r>
      <w:hyperlink r:id="rId39">
        <w:r w:rsidRPr="00EA3301">
          <w:rPr>
            <w:rStyle w:val="normaltextrun"/>
            <w:rFonts w:ascii="Arial" w:hAnsi="Arial" w:cs="Arial"/>
            <w:color w:val="0000FF"/>
            <w:u w:val="single"/>
          </w:rPr>
          <w:t>reference@ontario.ca</w:t>
        </w:r>
      </w:hyperlink>
      <w:r w:rsidRPr="00EA3301">
        <w:rPr>
          <w:rStyle w:val="eop"/>
          <w:rFonts w:ascii="Arial" w:hAnsi="Arial" w:cs="Arial"/>
        </w:rPr>
        <w:t> </w:t>
      </w:r>
    </w:p>
    <w:p w14:paraId="4227ABED" w14:textId="77777777" w:rsidR="00607D0A" w:rsidRPr="00EA3301" w:rsidRDefault="00607D0A" w:rsidP="00607D0A">
      <w:pPr>
        <w:pStyle w:val="paragraph"/>
        <w:spacing w:before="0" w:beforeAutospacing="0" w:after="0" w:afterAutospacing="0"/>
        <w:ind w:left="1170" w:hanging="1170"/>
        <w:textAlignment w:val="baseline"/>
        <w:rPr>
          <w:rFonts w:ascii="Arial" w:hAnsi="Arial" w:cs="Arial"/>
          <w:sz w:val="18"/>
          <w:szCs w:val="18"/>
          <w:lang w:val="en-CA"/>
        </w:rPr>
      </w:pPr>
      <w:r w:rsidRPr="00EA3301">
        <w:rPr>
          <w:rStyle w:val="spellingerror"/>
          <w:rFonts w:ascii="Arial" w:hAnsi="Arial" w:cs="Arial"/>
          <w:b/>
        </w:rPr>
        <w:t>Adresse : Archives publiques</w:t>
      </w:r>
      <w:r w:rsidRPr="00EA3301">
        <w:rPr>
          <w:rStyle w:val="normaltextrun"/>
          <w:rFonts w:ascii="Arial" w:hAnsi="Arial" w:cs="Arial"/>
          <w:b/>
        </w:rPr>
        <w:t xml:space="preserve"> de l’Ontario, 134, boul. </w:t>
      </w:r>
      <w:r w:rsidRPr="00EA3301">
        <w:rPr>
          <w:rStyle w:val="normaltextrun"/>
          <w:rFonts w:ascii="Arial" w:hAnsi="Arial" w:cs="Arial"/>
          <w:b/>
          <w:lang w:val="en-CA"/>
        </w:rPr>
        <w:t>Ian Macdonald, Toronto (Ontario) M7A 2C5</w:t>
      </w:r>
      <w:r w:rsidRPr="00EA3301">
        <w:rPr>
          <w:rStyle w:val="eop"/>
          <w:rFonts w:ascii="Arial" w:hAnsi="Arial" w:cs="Arial"/>
          <w:lang w:val="en-CA"/>
        </w:rPr>
        <w:t> </w:t>
      </w:r>
    </w:p>
    <w:bookmarkEnd w:id="36"/>
    <w:p w14:paraId="06FB7CDE" w14:textId="77777777" w:rsidR="00607D0A" w:rsidRPr="00EA3301" w:rsidRDefault="00607D0A" w:rsidP="00607D0A">
      <w:pPr>
        <w:pStyle w:val="paragraph"/>
        <w:spacing w:before="0" w:beforeAutospacing="0" w:after="0" w:afterAutospacing="0"/>
        <w:textAlignment w:val="baseline"/>
        <w:rPr>
          <w:rFonts w:ascii="Arial" w:hAnsi="Arial" w:cs="Arial"/>
          <w:sz w:val="18"/>
          <w:szCs w:val="18"/>
          <w:lang w:val="en-CA"/>
        </w:rPr>
      </w:pPr>
      <w:r w:rsidRPr="00EA3301">
        <w:rPr>
          <w:rStyle w:val="eop"/>
          <w:rFonts w:ascii="Arial" w:hAnsi="Arial" w:cs="Arial"/>
          <w:lang w:val="en-CA"/>
        </w:rPr>
        <w:t>  </w:t>
      </w:r>
    </w:p>
    <w:p w14:paraId="78F1F4FC" w14:textId="77777777" w:rsidR="00607D0A" w:rsidRPr="00EA3301" w:rsidRDefault="00607D0A" w:rsidP="00607D0A">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Site Web</w:t>
      </w:r>
      <w:r w:rsidRPr="00EA3301">
        <w:rPr>
          <w:rStyle w:val="eop"/>
          <w:rFonts w:ascii="Arial" w:hAnsi="Arial" w:cs="Arial"/>
          <w:b/>
        </w:rPr>
        <w:t> </w:t>
      </w:r>
    </w:p>
    <w:p w14:paraId="75506B6B" w14:textId="77777777" w:rsidR="00607D0A" w:rsidRPr="00EA3301" w:rsidRDefault="00607D0A" w:rsidP="00607D0A">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40">
        <w:r w:rsidRPr="00EA3301">
          <w:rPr>
            <w:rStyle w:val="normaltextrun"/>
            <w:rFonts w:ascii="Arial" w:hAnsi="Arial" w:cs="Arial"/>
            <w:color w:val="0000FF"/>
            <w:u w:val="single"/>
          </w:rPr>
          <w:t>Cliquez ici pour visiter notre site Web</w:t>
        </w:r>
      </w:hyperlink>
      <w:r w:rsidRPr="00EA3301">
        <w:rPr>
          <w:rStyle w:val="normaltextrun"/>
          <w:rFonts w:ascii="Arial" w:hAnsi="Arial" w:cs="Arial"/>
        </w:rPr>
        <w:t>. Le site Web est </w:t>
      </w:r>
      <w:hyperlink r:id="rId41">
        <w:r w:rsidRPr="00EA3301">
          <w:rPr>
            <w:rStyle w:val="normaltextrun"/>
            <w:rFonts w:ascii="Arial" w:hAnsi="Arial" w:cs="Arial"/>
            <w:color w:val="0000FF"/>
            <w:u w:val="single"/>
          </w:rPr>
          <w:t>www.ontario.ca/archives</w:t>
        </w:r>
      </w:hyperlink>
      <w:r w:rsidRPr="00EA3301">
        <w:rPr>
          <w:rStyle w:val="normaltextrun"/>
          <w:rFonts w:ascii="Arial" w:hAnsi="Arial" w:cs="Arial"/>
        </w:rPr>
        <w:t>.</w:t>
      </w:r>
      <w:r w:rsidRPr="00EA3301">
        <w:rPr>
          <w:rStyle w:val="eop"/>
          <w:rFonts w:ascii="Arial" w:hAnsi="Arial" w:cs="Arial"/>
        </w:rPr>
        <w:t> </w:t>
      </w:r>
    </w:p>
    <w:p w14:paraId="2935DC16" w14:textId="77777777" w:rsidR="00607D0A" w:rsidRPr="00EA3301" w:rsidRDefault="00607D0A" w:rsidP="00607D0A">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12490758" w14:textId="77777777" w:rsidR="00607D0A" w:rsidRPr="00EA3301" w:rsidRDefault="00607D0A" w:rsidP="00607D0A">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Guides des services à la clientèle et guides de recherche</w:t>
      </w:r>
      <w:r w:rsidRPr="00EA3301">
        <w:rPr>
          <w:rStyle w:val="eop"/>
          <w:rFonts w:ascii="Arial" w:hAnsi="Arial" w:cs="Arial"/>
          <w:b/>
        </w:rPr>
        <w:t> </w:t>
      </w:r>
    </w:p>
    <w:p w14:paraId="296C34F8" w14:textId="16AB7C29" w:rsidR="00BF1FC1" w:rsidRPr="00CE7754" w:rsidRDefault="00607D0A" w:rsidP="00607D0A">
      <w:pPr>
        <w:pStyle w:val="paragraph"/>
        <w:spacing w:before="0" w:beforeAutospacing="0" w:after="0" w:afterAutospacing="0"/>
        <w:textAlignment w:val="baseline"/>
        <w:rPr>
          <w:rFonts w:ascii="Arial" w:hAnsi="Arial" w:cs="Arial"/>
          <w:sz w:val="18"/>
          <w:szCs w:val="18"/>
          <w:lang w:val="en-CA"/>
        </w:rPr>
      </w:pPr>
      <w:r w:rsidRPr="00EA3301">
        <w:rPr>
          <w:rStyle w:val="normaltextrun"/>
          <w:rFonts w:ascii="Arial" w:hAnsi="Arial" w:cs="Arial"/>
        </w:rPr>
        <w:t>Nos guides contiennent des renseignements sur nos services, les chercheurs indépendants disponibles pour effectuer des recherches pour vous, et certains des documents les plus populaires. </w:t>
      </w:r>
      <w:hyperlink r:id="rId42">
        <w:r w:rsidRPr="00EA3301">
          <w:rPr>
            <w:rStyle w:val="normaltextrun"/>
            <w:rFonts w:ascii="Arial" w:hAnsi="Arial" w:cs="Arial"/>
            <w:color w:val="0000FF"/>
            <w:u w:val="single"/>
          </w:rPr>
          <w:t>Cliquez ici pour consulter nos guides</w:t>
        </w:r>
      </w:hyperlink>
      <w:r w:rsidRPr="00EA3301">
        <w:rPr>
          <w:rStyle w:val="normaltextrun"/>
          <w:rFonts w:ascii="Arial" w:hAnsi="Arial" w:cs="Arial"/>
          <w:color w:val="0000FF"/>
          <w:u w:val="single"/>
        </w:rPr>
        <w:t>.</w:t>
      </w:r>
      <w:r w:rsidRPr="00EA3301">
        <w:rPr>
          <w:rStyle w:val="normaltextrun"/>
          <w:rFonts w:ascii="Arial" w:hAnsi="Arial" w:cs="Arial"/>
        </w:rPr>
        <w:t xml:space="preserve"> Pour trouver les « Guides et outils de recherche » sur notre site Web, cliquez sur « Accédez à nos collections ».</w:t>
      </w:r>
      <w:r w:rsidRPr="00EA3301">
        <w:rPr>
          <w:rStyle w:val="eop"/>
          <w:rFonts w:ascii="Arial" w:hAnsi="Arial" w:cs="Arial"/>
        </w:rPr>
        <w:t> </w:t>
      </w:r>
      <w:r w:rsidR="00BF1FC1" w:rsidRPr="00CE7754">
        <w:rPr>
          <w:rStyle w:val="eop"/>
          <w:rFonts w:ascii="Arial" w:hAnsi="Arial"/>
          <w:sz w:val="22"/>
          <w:lang w:val="en-US"/>
        </w:rPr>
        <w:t> </w:t>
      </w:r>
    </w:p>
    <w:p w14:paraId="3738E1A4" w14:textId="77777777" w:rsidR="00BF1FC1" w:rsidRPr="00CE7754" w:rsidRDefault="00BF1FC1" w:rsidP="00BF1FC1">
      <w:pPr>
        <w:pStyle w:val="paragraph"/>
        <w:spacing w:before="0" w:beforeAutospacing="0" w:after="0" w:afterAutospacing="0"/>
        <w:textAlignment w:val="baseline"/>
        <w:rPr>
          <w:rFonts w:ascii="Arial" w:hAnsi="Arial" w:cs="Arial"/>
          <w:sz w:val="18"/>
          <w:szCs w:val="18"/>
        </w:rPr>
      </w:pPr>
      <w:r w:rsidRPr="00CE7754">
        <w:rPr>
          <w:rStyle w:val="normaltextrun"/>
          <w:rFonts w:ascii="Arial" w:hAnsi="Arial"/>
        </w:rPr>
        <w:t>______________________________________________________________________</w:t>
      </w:r>
      <w:r w:rsidRPr="00CE7754">
        <w:rPr>
          <w:rStyle w:val="eop"/>
          <w:rFonts w:ascii="Arial" w:hAnsi="Arial"/>
        </w:rPr>
        <w:t> </w:t>
      </w:r>
    </w:p>
    <w:p w14:paraId="1C35185D" w14:textId="77777777" w:rsidR="00BF1FC1" w:rsidRPr="00CE7754" w:rsidRDefault="00BF1FC1" w:rsidP="00BF1FC1">
      <w:pPr>
        <w:pStyle w:val="paragraph"/>
        <w:spacing w:before="0" w:beforeAutospacing="0" w:after="0" w:afterAutospacing="0"/>
        <w:jc w:val="center"/>
        <w:textAlignment w:val="baseline"/>
        <w:rPr>
          <w:rFonts w:ascii="Arial" w:hAnsi="Arial" w:cs="Arial"/>
          <w:sz w:val="18"/>
          <w:szCs w:val="18"/>
        </w:rPr>
      </w:pPr>
      <w:r w:rsidRPr="00CE7754">
        <w:rPr>
          <w:rStyle w:val="normaltextrun"/>
          <w:rFonts w:ascii="Arial" w:hAnsi="Arial"/>
        </w:rPr>
        <w:t>© Imprimeur de la Reine pour l’Ontario, 2020</w:t>
      </w:r>
      <w:r w:rsidRPr="00CE7754">
        <w:rPr>
          <w:rStyle w:val="eop"/>
          <w:rFonts w:ascii="Arial" w:hAnsi="Arial"/>
        </w:rPr>
        <w:t> </w:t>
      </w:r>
    </w:p>
    <w:p w14:paraId="3BF45BB6" w14:textId="77777777" w:rsidR="00BF1FC1" w:rsidRPr="00CE7754" w:rsidRDefault="00BF1FC1" w:rsidP="00BF1FC1">
      <w:pPr>
        <w:pStyle w:val="paragraph"/>
        <w:spacing w:before="0" w:beforeAutospacing="0" w:after="0" w:afterAutospacing="0"/>
        <w:jc w:val="center"/>
        <w:textAlignment w:val="baseline"/>
        <w:rPr>
          <w:rFonts w:cs="Arial"/>
          <w:sz w:val="18"/>
          <w:szCs w:val="18"/>
        </w:rPr>
      </w:pPr>
      <w:r w:rsidRPr="00CE7754">
        <w:rPr>
          <w:rStyle w:val="eop"/>
        </w:rPr>
        <w:t> </w:t>
      </w:r>
    </w:p>
    <w:p w14:paraId="286F2A3D" w14:textId="0FBBAF11" w:rsidR="00BF1FC1" w:rsidRPr="00CE7754" w:rsidRDefault="00BF1FC1" w:rsidP="00BF1FC1">
      <w:pPr>
        <w:pStyle w:val="paragraph"/>
        <w:spacing w:before="0" w:beforeAutospacing="0" w:after="240" w:afterAutospacing="0"/>
        <w:jc w:val="center"/>
        <w:textAlignment w:val="baseline"/>
        <w:rPr>
          <w:rFonts w:ascii="Arial" w:hAnsi="Arial" w:cs="Arial"/>
          <w:sz w:val="18"/>
          <w:szCs w:val="18"/>
        </w:rPr>
      </w:pPr>
      <w:r w:rsidRPr="00CE7754">
        <w:rPr>
          <w:rStyle w:val="normaltextrun"/>
          <w:rFonts w:ascii="Arial" w:hAnsi="Arial"/>
        </w:rPr>
        <w:t>Ces renseignements sont fournis à titre de service public</w:t>
      </w:r>
      <w:r w:rsidR="00C54242" w:rsidRPr="00CE7754">
        <w:rPr>
          <w:rStyle w:val="normaltextrun"/>
          <w:rFonts w:ascii="Arial" w:hAnsi="Arial"/>
        </w:rPr>
        <w:t xml:space="preserve">. </w:t>
      </w:r>
      <w:r w:rsidRPr="00CE7754">
        <w:rPr>
          <w:rStyle w:val="normaltextrun"/>
          <w:rFonts w:ascii="Arial" w:hAnsi="Arial"/>
        </w:rPr>
        <w:t>La date de la dernière mise à jour est indiquée au début de ce guide</w:t>
      </w:r>
      <w:r w:rsidR="00C54242" w:rsidRPr="00CE7754">
        <w:rPr>
          <w:rStyle w:val="normaltextrun"/>
          <w:rFonts w:ascii="Arial" w:hAnsi="Arial"/>
        </w:rPr>
        <w:t xml:space="preserve">. </w:t>
      </w:r>
      <w:r w:rsidRPr="00CE7754">
        <w:rPr>
          <w:rStyle w:val="normaltextrun"/>
          <w:rFonts w:ascii="Arial" w:hAnsi="Arial"/>
        </w:rPr>
        <w:t>Les lecteurs devront dans la mesure du possible vérifier l’information avant de s’en servir</w:t>
      </w:r>
      <w:r w:rsidR="00C54242" w:rsidRPr="00CE7754">
        <w:rPr>
          <w:rStyle w:val="normaltextrun"/>
          <w:rFonts w:ascii="Arial" w:hAnsi="Arial"/>
        </w:rPr>
        <w:t xml:space="preserve">. </w:t>
      </w:r>
    </w:p>
    <w:p w14:paraId="4BB426D3" w14:textId="77777777" w:rsidR="000A5FFE" w:rsidRPr="00C54242" w:rsidRDefault="000A5FFE" w:rsidP="00BF1FC1">
      <w:pPr>
        <w:pStyle w:val="Heading3"/>
        <w:rPr>
          <w:lang w:val="fr-FR"/>
        </w:rPr>
      </w:pPr>
    </w:p>
    <w:sectPr w:rsidR="000A5FFE" w:rsidRPr="00C54242" w:rsidSect="005B2CA1">
      <w:headerReference w:type="even" r:id="rId43"/>
      <w:headerReference w:type="default" r:id="rId44"/>
      <w:footerReference w:type="default" r:id="rId45"/>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D316" w14:textId="77777777" w:rsidR="00967DD6" w:rsidRDefault="00967DD6">
      <w:r>
        <w:separator/>
      </w:r>
    </w:p>
  </w:endnote>
  <w:endnote w:type="continuationSeparator" w:id="0">
    <w:p w14:paraId="0F94514B" w14:textId="77777777" w:rsidR="00967DD6" w:rsidRDefault="0096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Courier New"/>
    <w:panose1 w:val="00000500000000000000"/>
    <w:charset w:val="00"/>
    <w:family w:val="modern"/>
    <w:notTrueType/>
    <w:pitch w:val="variable"/>
    <w:sig w:usb0="20000207"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28329"/>
      <w:docPartObj>
        <w:docPartGallery w:val="Page Numbers (Bottom of Page)"/>
        <w:docPartUnique/>
      </w:docPartObj>
    </w:sdtPr>
    <w:sdtEndPr>
      <w:rPr>
        <w:noProof/>
      </w:rPr>
    </w:sdtEndPr>
    <w:sdtContent>
      <w:p w14:paraId="3819A163" w14:textId="77AD2638" w:rsidR="00CD27DE" w:rsidRDefault="00CD27DE">
        <w:pPr>
          <w:pStyle w:val="Footer"/>
          <w:jc w:val="right"/>
        </w:pPr>
        <w:r>
          <w:fldChar w:fldCharType="begin"/>
        </w:r>
        <w:r>
          <w:instrText xml:space="preserve"> PAGE   \* MERGEFORMAT </w:instrText>
        </w:r>
        <w:r>
          <w:fldChar w:fldCharType="separate"/>
        </w:r>
        <w:r w:rsidR="00BD4BD4">
          <w:rPr>
            <w:noProof/>
          </w:rPr>
          <w:t>2</w:t>
        </w:r>
        <w:r>
          <w:fldChar w:fldCharType="end"/>
        </w:r>
      </w:p>
    </w:sdtContent>
  </w:sdt>
  <w:p w14:paraId="20A591CD" w14:textId="77777777" w:rsidR="00CD27DE" w:rsidRDefault="00CD2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C04D" w14:textId="77777777" w:rsidR="00967DD6" w:rsidRDefault="00967DD6">
      <w:r>
        <w:separator/>
      </w:r>
    </w:p>
  </w:footnote>
  <w:footnote w:type="continuationSeparator" w:id="0">
    <w:p w14:paraId="6741C5D2" w14:textId="77777777" w:rsidR="00967DD6" w:rsidRDefault="0096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D19C" w14:textId="74F1363D" w:rsidR="00CD27DE" w:rsidRDefault="00CD27DE"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893779" w14:textId="77777777" w:rsidR="00CD27DE" w:rsidRDefault="00CD27DE"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471" w14:textId="77777777" w:rsidR="00CD27DE" w:rsidRDefault="00CD27DE" w:rsidP="00800D3C">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04D"/>
    <w:multiLevelType w:val="hybridMultilevel"/>
    <w:tmpl w:val="0EDEA620"/>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5214C"/>
    <w:multiLevelType w:val="hybridMultilevel"/>
    <w:tmpl w:val="1772E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F0949"/>
    <w:multiLevelType w:val="hybridMultilevel"/>
    <w:tmpl w:val="2D44DB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364C2"/>
    <w:multiLevelType w:val="hybridMultilevel"/>
    <w:tmpl w:val="BF3ACC8C"/>
    <w:lvl w:ilvl="0" w:tplc="B91C170E">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3B5E5C"/>
    <w:multiLevelType w:val="hybridMultilevel"/>
    <w:tmpl w:val="88BE4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786CDC"/>
    <w:multiLevelType w:val="hybridMultilevel"/>
    <w:tmpl w:val="ED9E8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7F5C54"/>
    <w:multiLevelType w:val="hybridMultilevel"/>
    <w:tmpl w:val="0B8432C0"/>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C15254"/>
    <w:multiLevelType w:val="hybridMultilevel"/>
    <w:tmpl w:val="FD3CB3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5F467D"/>
    <w:multiLevelType w:val="hybridMultilevel"/>
    <w:tmpl w:val="E72C0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213DE2"/>
    <w:multiLevelType w:val="hybridMultilevel"/>
    <w:tmpl w:val="EF3A1966"/>
    <w:lvl w:ilvl="0" w:tplc="387EA434">
      <w:start w:val="1"/>
      <w:numFmt w:val="decimal"/>
      <w:lvlText w:val="7.%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940731E"/>
    <w:multiLevelType w:val="hybridMultilevel"/>
    <w:tmpl w:val="36083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086D56"/>
    <w:multiLevelType w:val="multilevel"/>
    <w:tmpl w:val="984AF5EE"/>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A550FA"/>
    <w:multiLevelType w:val="hybridMultilevel"/>
    <w:tmpl w:val="84761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66042"/>
    <w:multiLevelType w:val="hybridMultilevel"/>
    <w:tmpl w:val="0C6CE9B4"/>
    <w:lvl w:ilvl="0" w:tplc="10090001">
      <w:start w:val="1"/>
      <w:numFmt w:val="bullet"/>
      <w:lvlText w:val=""/>
      <w:lvlJc w:val="left"/>
      <w:pPr>
        <w:tabs>
          <w:tab w:val="num" w:pos="720"/>
        </w:tabs>
        <w:ind w:left="720" w:hanging="360"/>
      </w:pPr>
      <w:rPr>
        <w:rFonts w:ascii="Symbol" w:hAnsi="Symbol"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4D2B38"/>
    <w:multiLevelType w:val="multilevel"/>
    <w:tmpl w:val="FB98B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DC39A4"/>
    <w:multiLevelType w:val="hybridMultilevel"/>
    <w:tmpl w:val="2182EEB0"/>
    <w:lvl w:ilvl="0" w:tplc="8202ED4E">
      <w:start w:val="3"/>
      <w:numFmt w:val="bullet"/>
      <w:lvlText w:val="-"/>
      <w:lvlJc w:val="left"/>
      <w:pPr>
        <w:tabs>
          <w:tab w:val="num" w:pos="1080"/>
        </w:tabs>
        <w:ind w:left="108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055F1"/>
    <w:multiLevelType w:val="hybridMultilevel"/>
    <w:tmpl w:val="A27A9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470F08"/>
    <w:multiLevelType w:val="hybridMultilevel"/>
    <w:tmpl w:val="335A9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5008E4"/>
    <w:multiLevelType w:val="hybridMultilevel"/>
    <w:tmpl w:val="66E4C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BC1E88"/>
    <w:multiLevelType w:val="hybridMultilevel"/>
    <w:tmpl w:val="2152CDFC"/>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5B86"/>
    <w:multiLevelType w:val="hybridMultilevel"/>
    <w:tmpl w:val="E8D25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5C3500"/>
    <w:multiLevelType w:val="hybridMultilevel"/>
    <w:tmpl w:val="1136CB6C"/>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A3787"/>
    <w:multiLevelType w:val="hybridMultilevel"/>
    <w:tmpl w:val="D2B2A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A04D71"/>
    <w:multiLevelType w:val="hybridMultilevel"/>
    <w:tmpl w:val="52808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D195DEF"/>
    <w:multiLevelType w:val="hybridMultilevel"/>
    <w:tmpl w:val="CFFA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354491C"/>
    <w:multiLevelType w:val="hybridMultilevel"/>
    <w:tmpl w:val="64FEF0D2"/>
    <w:lvl w:ilvl="0" w:tplc="79146C90">
      <w:start w:val="1"/>
      <w:numFmt w:val="decimal"/>
      <w:lvlText w:val="5.%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495B65"/>
    <w:multiLevelType w:val="hybridMultilevel"/>
    <w:tmpl w:val="0E262D30"/>
    <w:lvl w:ilvl="0" w:tplc="10090001">
      <w:start w:val="1"/>
      <w:numFmt w:val="bullet"/>
      <w:lvlText w:val=""/>
      <w:lvlJc w:val="left"/>
      <w:pPr>
        <w:tabs>
          <w:tab w:val="num" w:pos="720"/>
        </w:tabs>
        <w:ind w:left="720" w:hanging="360"/>
      </w:pPr>
      <w:rPr>
        <w:rFonts w:ascii="Symbol" w:hAnsi="Symbol"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47275"/>
    <w:multiLevelType w:val="hybridMultilevel"/>
    <w:tmpl w:val="9732F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9D11D8"/>
    <w:multiLevelType w:val="hybridMultilevel"/>
    <w:tmpl w:val="7884DF46"/>
    <w:lvl w:ilvl="0" w:tplc="BBB0C7B8">
      <w:numFmt w:val="bullet"/>
      <w:lvlText w:val="-"/>
      <w:lvlJc w:val="left"/>
      <w:pPr>
        <w:tabs>
          <w:tab w:val="num" w:pos="720"/>
        </w:tabs>
        <w:ind w:left="720" w:hanging="360"/>
      </w:pPr>
      <w:rPr>
        <w:rFonts w:ascii="Times New Roman" w:eastAsia="Times New Roman" w:hAnsi="Times New Roman"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07D4C"/>
    <w:multiLevelType w:val="hybridMultilevel"/>
    <w:tmpl w:val="5CA47972"/>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34" w15:restartNumberingAfterBreak="0">
    <w:nsid w:val="6BFD2A01"/>
    <w:multiLevelType w:val="hybridMultilevel"/>
    <w:tmpl w:val="4C5E299E"/>
    <w:lvl w:ilvl="0" w:tplc="10090001">
      <w:start w:val="1"/>
      <w:numFmt w:val="bullet"/>
      <w:lvlText w:val=""/>
      <w:lvlJc w:val="left"/>
      <w:pPr>
        <w:tabs>
          <w:tab w:val="num" w:pos="720"/>
        </w:tabs>
        <w:ind w:left="720" w:hanging="360"/>
      </w:pPr>
      <w:rPr>
        <w:rFonts w:ascii="Symbol" w:hAnsi="Symbol" w:hint="default"/>
      </w:rPr>
    </w:lvl>
    <w:lvl w:ilvl="1" w:tplc="8202ED4E">
      <w:start w:val="3"/>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369B6"/>
    <w:multiLevelType w:val="hybridMultilevel"/>
    <w:tmpl w:val="8606369A"/>
    <w:lvl w:ilvl="0" w:tplc="8202ED4E">
      <w:start w:val="3"/>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F2C45"/>
    <w:multiLevelType w:val="hybridMultilevel"/>
    <w:tmpl w:val="2CB6A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B1243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A73C36"/>
    <w:multiLevelType w:val="hybridMultilevel"/>
    <w:tmpl w:val="0FA823E2"/>
    <w:lvl w:ilvl="0" w:tplc="B52E46F8">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8837AFC"/>
    <w:multiLevelType w:val="hybridMultilevel"/>
    <w:tmpl w:val="D570B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F24DC5"/>
    <w:multiLevelType w:val="hybridMultilevel"/>
    <w:tmpl w:val="855A407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14"/>
  </w:num>
  <w:num w:numId="4">
    <w:abstractNumId w:val="41"/>
  </w:num>
  <w:num w:numId="5">
    <w:abstractNumId w:val="3"/>
  </w:num>
  <w:num w:numId="6">
    <w:abstractNumId w:val="16"/>
  </w:num>
  <w:num w:numId="7">
    <w:abstractNumId w:val="30"/>
  </w:num>
  <w:num w:numId="8">
    <w:abstractNumId w:val="33"/>
  </w:num>
  <w:num w:numId="9">
    <w:abstractNumId w:val="34"/>
  </w:num>
  <w:num w:numId="10">
    <w:abstractNumId w:val="36"/>
  </w:num>
  <w:num w:numId="11">
    <w:abstractNumId w:val="12"/>
  </w:num>
  <w:num w:numId="12">
    <w:abstractNumId w:val="9"/>
  </w:num>
  <w:num w:numId="13">
    <w:abstractNumId w:val="22"/>
  </w:num>
  <w:num w:numId="14">
    <w:abstractNumId w:val="0"/>
  </w:num>
  <w:num w:numId="15">
    <w:abstractNumId w:val="24"/>
  </w:num>
  <w:num w:numId="16">
    <w:abstractNumId w:val="32"/>
  </w:num>
  <w:num w:numId="17">
    <w:abstractNumId w:val="35"/>
  </w:num>
  <w:num w:numId="18">
    <w:abstractNumId w:val="8"/>
  </w:num>
  <w:num w:numId="19">
    <w:abstractNumId w:val="26"/>
  </w:num>
  <w:num w:numId="20">
    <w:abstractNumId w:val="5"/>
  </w:num>
  <w:num w:numId="21">
    <w:abstractNumId w:val="37"/>
  </w:num>
  <w:num w:numId="22">
    <w:abstractNumId w:val="17"/>
  </w:num>
  <w:num w:numId="23">
    <w:abstractNumId w:val="38"/>
  </w:num>
  <w:num w:numId="24">
    <w:abstractNumId w:val="13"/>
  </w:num>
  <w:num w:numId="25">
    <w:abstractNumId w:val="23"/>
  </w:num>
  <w:num w:numId="26">
    <w:abstractNumId w:val="11"/>
  </w:num>
  <w:num w:numId="27">
    <w:abstractNumId w:val="4"/>
  </w:num>
  <w:num w:numId="28">
    <w:abstractNumId w:val="21"/>
  </w:num>
  <w:num w:numId="29">
    <w:abstractNumId w:val="31"/>
  </w:num>
  <w:num w:numId="30">
    <w:abstractNumId w:val="7"/>
  </w:num>
  <w:num w:numId="31">
    <w:abstractNumId w:val="18"/>
  </w:num>
  <w:num w:numId="32">
    <w:abstractNumId w:val="39"/>
  </w:num>
  <w:num w:numId="33">
    <w:abstractNumId w:val="27"/>
  </w:num>
  <w:num w:numId="34">
    <w:abstractNumId w:val="1"/>
  </w:num>
  <w:num w:numId="35">
    <w:abstractNumId w:val="2"/>
  </w:num>
  <w:num w:numId="36">
    <w:abstractNumId w:val="40"/>
  </w:num>
  <w:num w:numId="37">
    <w:abstractNumId w:val="20"/>
  </w:num>
  <w:num w:numId="38">
    <w:abstractNumId w:val="29"/>
  </w:num>
  <w:num w:numId="39">
    <w:abstractNumId w:val="19"/>
  </w:num>
  <w:num w:numId="40">
    <w:abstractNumId w:val="25"/>
  </w:num>
  <w:num w:numId="41">
    <w:abstractNumId w:val="6"/>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1688C"/>
    <w:rsid w:val="000248BE"/>
    <w:rsid w:val="00024993"/>
    <w:rsid w:val="0003318E"/>
    <w:rsid w:val="000344F0"/>
    <w:rsid w:val="00046E05"/>
    <w:rsid w:val="00053AEF"/>
    <w:rsid w:val="000603D6"/>
    <w:rsid w:val="000671AF"/>
    <w:rsid w:val="00074AB7"/>
    <w:rsid w:val="00077FBA"/>
    <w:rsid w:val="000832F4"/>
    <w:rsid w:val="000906C3"/>
    <w:rsid w:val="000937BD"/>
    <w:rsid w:val="0009401D"/>
    <w:rsid w:val="00097A93"/>
    <w:rsid w:val="000A15F2"/>
    <w:rsid w:val="000A254F"/>
    <w:rsid w:val="000A5FFE"/>
    <w:rsid w:val="000A651B"/>
    <w:rsid w:val="000A6B3E"/>
    <w:rsid w:val="000B461D"/>
    <w:rsid w:val="000C3823"/>
    <w:rsid w:val="000D2C87"/>
    <w:rsid w:val="000D3A98"/>
    <w:rsid w:val="000D40FA"/>
    <w:rsid w:val="000E1185"/>
    <w:rsid w:val="000E2A61"/>
    <w:rsid w:val="000E73DA"/>
    <w:rsid w:val="000F0B53"/>
    <w:rsid w:val="000F11A4"/>
    <w:rsid w:val="000F3883"/>
    <w:rsid w:val="00112C60"/>
    <w:rsid w:val="00120BD2"/>
    <w:rsid w:val="00124298"/>
    <w:rsid w:val="00124776"/>
    <w:rsid w:val="00125C9E"/>
    <w:rsid w:val="00131659"/>
    <w:rsid w:val="00131A91"/>
    <w:rsid w:val="00153A0F"/>
    <w:rsid w:val="00155448"/>
    <w:rsid w:val="00155CC0"/>
    <w:rsid w:val="00155F01"/>
    <w:rsid w:val="001659C8"/>
    <w:rsid w:val="00167B07"/>
    <w:rsid w:val="00171840"/>
    <w:rsid w:val="00174E5C"/>
    <w:rsid w:val="00180CBA"/>
    <w:rsid w:val="00180EEA"/>
    <w:rsid w:val="001817A2"/>
    <w:rsid w:val="0018331A"/>
    <w:rsid w:val="00186291"/>
    <w:rsid w:val="00187293"/>
    <w:rsid w:val="00190DCF"/>
    <w:rsid w:val="001A4C86"/>
    <w:rsid w:val="001B3C8F"/>
    <w:rsid w:val="001C3218"/>
    <w:rsid w:val="001C6A5B"/>
    <w:rsid w:val="001D5A08"/>
    <w:rsid w:val="001E106A"/>
    <w:rsid w:val="001E6156"/>
    <w:rsid w:val="001E665E"/>
    <w:rsid w:val="001F0B28"/>
    <w:rsid w:val="001F57EB"/>
    <w:rsid w:val="0020291C"/>
    <w:rsid w:val="00203030"/>
    <w:rsid w:val="00205F7D"/>
    <w:rsid w:val="0020623A"/>
    <w:rsid w:val="00211589"/>
    <w:rsid w:val="00213E9E"/>
    <w:rsid w:val="002145D0"/>
    <w:rsid w:val="002201A4"/>
    <w:rsid w:val="0022292C"/>
    <w:rsid w:val="00233DDF"/>
    <w:rsid w:val="00240359"/>
    <w:rsid w:val="00241C71"/>
    <w:rsid w:val="00245F7F"/>
    <w:rsid w:val="00260E9E"/>
    <w:rsid w:val="00263DCB"/>
    <w:rsid w:val="00276054"/>
    <w:rsid w:val="0028140C"/>
    <w:rsid w:val="00287D59"/>
    <w:rsid w:val="00297D41"/>
    <w:rsid w:val="002B33B2"/>
    <w:rsid w:val="002B373D"/>
    <w:rsid w:val="002B63E8"/>
    <w:rsid w:val="002B7041"/>
    <w:rsid w:val="002B7436"/>
    <w:rsid w:val="002B760B"/>
    <w:rsid w:val="002B7E9C"/>
    <w:rsid w:val="002C17B5"/>
    <w:rsid w:val="002D057A"/>
    <w:rsid w:val="002D3EBE"/>
    <w:rsid w:val="002D5CD0"/>
    <w:rsid w:val="002D7A27"/>
    <w:rsid w:val="002E3FD1"/>
    <w:rsid w:val="002F4D60"/>
    <w:rsid w:val="003047AF"/>
    <w:rsid w:val="00306296"/>
    <w:rsid w:val="00322319"/>
    <w:rsid w:val="00333C09"/>
    <w:rsid w:val="00334AB3"/>
    <w:rsid w:val="0033756D"/>
    <w:rsid w:val="003515AB"/>
    <w:rsid w:val="00351C49"/>
    <w:rsid w:val="00353A45"/>
    <w:rsid w:val="003724A1"/>
    <w:rsid w:val="00375D93"/>
    <w:rsid w:val="00391F96"/>
    <w:rsid w:val="00392201"/>
    <w:rsid w:val="00393E64"/>
    <w:rsid w:val="00394FAF"/>
    <w:rsid w:val="003A3835"/>
    <w:rsid w:val="003A4C09"/>
    <w:rsid w:val="003B5AB8"/>
    <w:rsid w:val="003B6EA0"/>
    <w:rsid w:val="003C1336"/>
    <w:rsid w:val="003C3104"/>
    <w:rsid w:val="003C7024"/>
    <w:rsid w:val="003C7C6C"/>
    <w:rsid w:val="003D53A8"/>
    <w:rsid w:val="003E1B7F"/>
    <w:rsid w:val="003E57E4"/>
    <w:rsid w:val="003E7ED1"/>
    <w:rsid w:val="003F6C02"/>
    <w:rsid w:val="00403416"/>
    <w:rsid w:val="00413A8A"/>
    <w:rsid w:val="0041489E"/>
    <w:rsid w:val="00416658"/>
    <w:rsid w:val="004305DB"/>
    <w:rsid w:val="00432A9F"/>
    <w:rsid w:val="00434AA1"/>
    <w:rsid w:val="00434C6C"/>
    <w:rsid w:val="0043714D"/>
    <w:rsid w:val="0044411A"/>
    <w:rsid w:val="00446499"/>
    <w:rsid w:val="00447545"/>
    <w:rsid w:val="0045654A"/>
    <w:rsid w:val="004608F4"/>
    <w:rsid w:val="004624D7"/>
    <w:rsid w:val="004655FA"/>
    <w:rsid w:val="00465E40"/>
    <w:rsid w:val="004664ED"/>
    <w:rsid w:val="004865F6"/>
    <w:rsid w:val="00490F87"/>
    <w:rsid w:val="0049610E"/>
    <w:rsid w:val="004963BA"/>
    <w:rsid w:val="00497DF9"/>
    <w:rsid w:val="004A1D88"/>
    <w:rsid w:val="004A55F2"/>
    <w:rsid w:val="004A5E4D"/>
    <w:rsid w:val="004B2CF0"/>
    <w:rsid w:val="004B60DD"/>
    <w:rsid w:val="004C3CED"/>
    <w:rsid w:val="004C5E14"/>
    <w:rsid w:val="004D1C4C"/>
    <w:rsid w:val="004D6350"/>
    <w:rsid w:val="004E0CFE"/>
    <w:rsid w:val="004E0EA2"/>
    <w:rsid w:val="004E0FBC"/>
    <w:rsid w:val="004E1E26"/>
    <w:rsid w:val="00501880"/>
    <w:rsid w:val="00505FC6"/>
    <w:rsid w:val="00506566"/>
    <w:rsid w:val="00506E1C"/>
    <w:rsid w:val="00512D91"/>
    <w:rsid w:val="00522157"/>
    <w:rsid w:val="0053102B"/>
    <w:rsid w:val="0054143F"/>
    <w:rsid w:val="005459E0"/>
    <w:rsid w:val="00554E11"/>
    <w:rsid w:val="0056097A"/>
    <w:rsid w:val="005621D1"/>
    <w:rsid w:val="005646AA"/>
    <w:rsid w:val="00564F37"/>
    <w:rsid w:val="00565DC0"/>
    <w:rsid w:val="00572FCD"/>
    <w:rsid w:val="00573746"/>
    <w:rsid w:val="00574878"/>
    <w:rsid w:val="005749F0"/>
    <w:rsid w:val="00576854"/>
    <w:rsid w:val="00577993"/>
    <w:rsid w:val="00580A6E"/>
    <w:rsid w:val="00591EA5"/>
    <w:rsid w:val="00593484"/>
    <w:rsid w:val="00594CD3"/>
    <w:rsid w:val="005963F4"/>
    <w:rsid w:val="005A53BF"/>
    <w:rsid w:val="005B27F3"/>
    <w:rsid w:val="005B2CA1"/>
    <w:rsid w:val="005C1CB4"/>
    <w:rsid w:val="005D5ABF"/>
    <w:rsid w:val="005E5BBF"/>
    <w:rsid w:val="005E79D4"/>
    <w:rsid w:val="005F0776"/>
    <w:rsid w:val="0060128A"/>
    <w:rsid w:val="00607D0A"/>
    <w:rsid w:val="0062674B"/>
    <w:rsid w:val="0063450A"/>
    <w:rsid w:val="006449E6"/>
    <w:rsid w:val="00646D23"/>
    <w:rsid w:val="0065429B"/>
    <w:rsid w:val="00662DA5"/>
    <w:rsid w:val="006721B7"/>
    <w:rsid w:val="00674A3E"/>
    <w:rsid w:val="00690257"/>
    <w:rsid w:val="00690940"/>
    <w:rsid w:val="00691AC7"/>
    <w:rsid w:val="00694F2A"/>
    <w:rsid w:val="006A31FC"/>
    <w:rsid w:val="006B32E3"/>
    <w:rsid w:val="006B6132"/>
    <w:rsid w:val="006D08C6"/>
    <w:rsid w:val="006E16C9"/>
    <w:rsid w:val="006E610B"/>
    <w:rsid w:val="006E6D6B"/>
    <w:rsid w:val="006F23D0"/>
    <w:rsid w:val="006F3D1C"/>
    <w:rsid w:val="006F51DB"/>
    <w:rsid w:val="006F5F0F"/>
    <w:rsid w:val="006F6A0C"/>
    <w:rsid w:val="006F74F2"/>
    <w:rsid w:val="00701B3A"/>
    <w:rsid w:val="0071054E"/>
    <w:rsid w:val="007111B4"/>
    <w:rsid w:val="0071125B"/>
    <w:rsid w:val="00712C11"/>
    <w:rsid w:val="0071406D"/>
    <w:rsid w:val="007151AA"/>
    <w:rsid w:val="00722A78"/>
    <w:rsid w:val="00725E6C"/>
    <w:rsid w:val="00731CB7"/>
    <w:rsid w:val="0073211D"/>
    <w:rsid w:val="00735727"/>
    <w:rsid w:val="0074024B"/>
    <w:rsid w:val="00746889"/>
    <w:rsid w:val="007525F6"/>
    <w:rsid w:val="00753282"/>
    <w:rsid w:val="00764F8C"/>
    <w:rsid w:val="007717CF"/>
    <w:rsid w:val="007758F8"/>
    <w:rsid w:val="00776B7D"/>
    <w:rsid w:val="007904DF"/>
    <w:rsid w:val="00797533"/>
    <w:rsid w:val="007A1D7F"/>
    <w:rsid w:val="007A3438"/>
    <w:rsid w:val="007A5E49"/>
    <w:rsid w:val="007A5E92"/>
    <w:rsid w:val="007C41F4"/>
    <w:rsid w:val="007C446D"/>
    <w:rsid w:val="007C749F"/>
    <w:rsid w:val="007D1C39"/>
    <w:rsid w:val="007E0875"/>
    <w:rsid w:val="007E2188"/>
    <w:rsid w:val="007E518A"/>
    <w:rsid w:val="007E54EF"/>
    <w:rsid w:val="007E7099"/>
    <w:rsid w:val="007F3044"/>
    <w:rsid w:val="007F6EC8"/>
    <w:rsid w:val="00800D3C"/>
    <w:rsid w:val="00802187"/>
    <w:rsid w:val="00803E6E"/>
    <w:rsid w:val="00805507"/>
    <w:rsid w:val="00813370"/>
    <w:rsid w:val="00813B93"/>
    <w:rsid w:val="00823763"/>
    <w:rsid w:val="008244BE"/>
    <w:rsid w:val="00830F86"/>
    <w:rsid w:val="008444E9"/>
    <w:rsid w:val="00856A69"/>
    <w:rsid w:val="00863F4E"/>
    <w:rsid w:val="0086541E"/>
    <w:rsid w:val="00865B65"/>
    <w:rsid w:val="008725E6"/>
    <w:rsid w:val="00877C1C"/>
    <w:rsid w:val="0088081D"/>
    <w:rsid w:val="0088225E"/>
    <w:rsid w:val="0089230B"/>
    <w:rsid w:val="008B11AD"/>
    <w:rsid w:val="008B1CE6"/>
    <w:rsid w:val="008B63EE"/>
    <w:rsid w:val="008C063B"/>
    <w:rsid w:val="008D1E3B"/>
    <w:rsid w:val="008D335D"/>
    <w:rsid w:val="008D683E"/>
    <w:rsid w:val="008D6D7F"/>
    <w:rsid w:val="008D7816"/>
    <w:rsid w:val="008F50D3"/>
    <w:rsid w:val="00904271"/>
    <w:rsid w:val="009120E9"/>
    <w:rsid w:val="00912292"/>
    <w:rsid w:val="00915D31"/>
    <w:rsid w:val="009163AD"/>
    <w:rsid w:val="0092280F"/>
    <w:rsid w:val="00922BD6"/>
    <w:rsid w:val="00931DCC"/>
    <w:rsid w:val="00933F0E"/>
    <w:rsid w:val="00940A45"/>
    <w:rsid w:val="00943CED"/>
    <w:rsid w:val="00943F58"/>
    <w:rsid w:val="009539BE"/>
    <w:rsid w:val="00956784"/>
    <w:rsid w:val="009651AC"/>
    <w:rsid w:val="00967B78"/>
    <w:rsid w:val="00967DD6"/>
    <w:rsid w:val="0098639C"/>
    <w:rsid w:val="00990045"/>
    <w:rsid w:val="00993BCF"/>
    <w:rsid w:val="009A4B36"/>
    <w:rsid w:val="009B0965"/>
    <w:rsid w:val="009B1F47"/>
    <w:rsid w:val="009B45EC"/>
    <w:rsid w:val="009B5314"/>
    <w:rsid w:val="009B5770"/>
    <w:rsid w:val="009B5E5A"/>
    <w:rsid w:val="009C06E6"/>
    <w:rsid w:val="009D025F"/>
    <w:rsid w:val="009E2842"/>
    <w:rsid w:val="009E6043"/>
    <w:rsid w:val="009E7BE2"/>
    <w:rsid w:val="009F24B0"/>
    <w:rsid w:val="009F3710"/>
    <w:rsid w:val="009F3C43"/>
    <w:rsid w:val="00A01791"/>
    <w:rsid w:val="00A02A38"/>
    <w:rsid w:val="00A05B15"/>
    <w:rsid w:val="00A07F91"/>
    <w:rsid w:val="00A11F54"/>
    <w:rsid w:val="00A23875"/>
    <w:rsid w:val="00A265E9"/>
    <w:rsid w:val="00A31B01"/>
    <w:rsid w:val="00A32380"/>
    <w:rsid w:val="00A341DB"/>
    <w:rsid w:val="00A42E24"/>
    <w:rsid w:val="00A5165C"/>
    <w:rsid w:val="00A54E1D"/>
    <w:rsid w:val="00A559C3"/>
    <w:rsid w:val="00A60101"/>
    <w:rsid w:val="00A60937"/>
    <w:rsid w:val="00A626A3"/>
    <w:rsid w:val="00A637AB"/>
    <w:rsid w:val="00A644E3"/>
    <w:rsid w:val="00A669DA"/>
    <w:rsid w:val="00A702A2"/>
    <w:rsid w:val="00A76F1A"/>
    <w:rsid w:val="00A851A1"/>
    <w:rsid w:val="00A94F5A"/>
    <w:rsid w:val="00A976FF"/>
    <w:rsid w:val="00AA45F1"/>
    <w:rsid w:val="00AB1F42"/>
    <w:rsid w:val="00AB7A85"/>
    <w:rsid w:val="00AC0844"/>
    <w:rsid w:val="00AC48AF"/>
    <w:rsid w:val="00AC60D7"/>
    <w:rsid w:val="00AD0748"/>
    <w:rsid w:val="00AD1A3E"/>
    <w:rsid w:val="00AD1CA4"/>
    <w:rsid w:val="00AD2F61"/>
    <w:rsid w:val="00AD69FE"/>
    <w:rsid w:val="00AE104C"/>
    <w:rsid w:val="00AF3C21"/>
    <w:rsid w:val="00AF4CB1"/>
    <w:rsid w:val="00AF6320"/>
    <w:rsid w:val="00AF6F7E"/>
    <w:rsid w:val="00B05001"/>
    <w:rsid w:val="00B1084C"/>
    <w:rsid w:val="00B10D5F"/>
    <w:rsid w:val="00B130B1"/>
    <w:rsid w:val="00B13C7B"/>
    <w:rsid w:val="00B178A9"/>
    <w:rsid w:val="00B24F8B"/>
    <w:rsid w:val="00B340B8"/>
    <w:rsid w:val="00B50D7C"/>
    <w:rsid w:val="00B5153C"/>
    <w:rsid w:val="00B51FF5"/>
    <w:rsid w:val="00B53A53"/>
    <w:rsid w:val="00B61DDD"/>
    <w:rsid w:val="00B625F0"/>
    <w:rsid w:val="00B647B9"/>
    <w:rsid w:val="00B72D4F"/>
    <w:rsid w:val="00B921BA"/>
    <w:rsid w:val="00B9330D"/>
    <w:rsid w:val="00B94D02"/>
    <w:rsid w:val="00B96010"/>
    <w:rsid w:val="00B9608C"/>
    <w:rsid w:val="00BA0E98"/>
    <w:rsid w:val="00BA26E3"/>
    <w:rsid w:val="00BA7F68"/>
    <w:rsid w:val="00BB7EC9"/>
    <w:rsid w:val="00BC003D"/>
    <w:rsid w:val="00BC29CE"/>
    <w:rsid w:val="00BC448C"/>
    <w:rsid w:val="00BC5F51"/>
    <w:rsid w:val="00BC753C"/>
    <w:rsid w:val="00BD13C4"/>
    <w:rsid w:val="00BD27AE"/>
    <w:rsid w:val="00BD4BD4"/>
    <w:rsid w:val="00BD6489"/>
    <w:rsid w:val="00BD6537"/>
    <w:rsid w:val="00BE472B"/>
    <w:rsid w:val="00BE4CDE"/>
    <w:rsid w:val="00BE7B8E"/>
    <w:rsid w:val="00BF1696"/>
    <w:rsid w:val="00BF1FC1"/>
    <w:rsid w:val="00C0313E"/>
    <w:rsid w:val="00C047A7"/>
    <w:rsid w:val="00C0512E"/>
    <w:rsid w:val="00C1408A"/>
    <w:rsid w:val="00C14144"/>
    <w:rsid w:val="00C16CE6"/>
    <w:rsid w:val="00C210B2"/>
    <w:rsid w:val="00C2798A"/>
    <w:rsid w:val="00C3342C"/>
    <w:rsid w:val="00C3654E"/>
    <w:rsid w:val="00C4001A"/>
    <w:rsid w:val="00C45556"/>
    <w:rsid w:val="00C5299A"/>
    <w:rsid w:val="00C54242"/>
    <w:rsid w:val="00C60055"/>
    <w:rsid w:val="00C612C7"/>
    <w:rsid w:val="00C62A2C"/>
    <w:rsid w:val="00C727F3"/>
    <w:rsid w:val="00C75F71"/>
    <w:rsid w:val="00C77738"/>
    <w:rsid w:val="00C81226"/>
    <w:rsid w:val="00C84674"/>
    <w:rsid w:val="00C86EED"/>
    <w:rsid w:val="00C921CE"/>
    <w:rsid w:val="00CB08D5"/>
    <w:rsid w:val="00CC6339"/>
    <w:rsid w:val="00CD27DE"/>
    <w:rsid w:val="00CD6CA5"/>
    <w:rsid w:val="00CE3511"/>
    <w:rsid w:val="00CE4DC6"/>
    <w:rsid w:val="00CE7754"/>
    <w:rsid w:val="00CF343C"/>
    <w:rsid w:val="00CF45F1"/>
    <w:rsid w:val="00CF6E3F"/>
    <w:rsid w:val="00D0013C"/>
    <w:rsid w:val="00D01FF9"/>
    <w:rsid w:val="00D06EA4"/>
    <w:rsid w:val="00D10DE8"/>
    <w:rsid w:val="00D12305"/>
    <w:rsid w:val="00D223A4"/>
    <w:rsid w:val="00D24670"/>
    <w:rsid w:val="00D2611A"/>
    <w:rsid w:val="00D325B3"/>
    <w:rsid w:val="00D35C00"/>
    <w:rsid w:val="00D45765"/>
    <w:rsid w:val="00D5064E"/>
    <w:rsid w:val="00D54A4D"/>
    <w:rsid w:val="00D57339"/>
    <w:rsid w:val="00D6172A"/>
    <w:rsid w:val="00D71CF1"/>
    <w:rsid w:val="00D738BE"/>
    <w:rsid w:val="00D7716A"/>
    <w:rsid w:val="00D85669"/>
    <w:rsid w:val="00D86E1C"/>
    <w:rsid w:val="00D8706F"/>
    <w:rsid w:val="00DA186C"/>
    <w:rsid w:val="00DA35CD"/>
    <w:rsid w:val="00DA6CDE"/>
    <w:rsid w:val="00DB420A"/>
    <w:rsid w:val="00DB42CA"/>
    <w:rsid w:val="00DC0E6C"/>
    <w:rsid w:val="00DC0FEF"/>
    <w:rsid w:val="00DD2FB9"/>
    <w:rsid w:val="00DD4491"/>
    <w:rsid w:val="00DD4E47"/>
    <w:rsid w:val="00DD79BC"/>
    <w:rsid w:val="00DE35A8"/>
    <w:rsid w:val="00DE4477"/>
    <w:rsid w:val="00DF007A"/>
    <w:rsid w:val="00DF13CC"/>
    <w:rsid w:val="00DF2407"/>
    <w:rsid w:val="00DF50E5"/>
    <w:rsid w:val="00DF6B7F"/>
    <w:rsid w:val="00E00396"/>
    <w:rsid w:val="00E06B1A"/>
    <w:rsid w:val="00E06FF1"/>
    <w:rsid w:val="00E22401"/>
    <w:rsid w:val="00E25CF8"/>
    <w:rsid w:val="00E36DD2"/>
    <w:rsid w:val="00E3791E"/>
    <w:rsid w:val="00E41AE4"/>
    <w:rsid w:val="00E447F3"/>
    <w:rsid w:val="00E44D71"/>
    <w:rsid w:val="00E565B5"/>
    <w:rsid w:val="00E60316"/>
    <w:rsid w:val="00E61C08"/>
    <w:rsid w:val="00E64F05"/>
    <w:rsid w:val="00E673C7"/>
    <w:rsid w:val="00E70082"/>
    <w:rsid w:val="00E81A9F"/>
    <w:rsid w:val="00E83363"/>
    <w:rsid w:val="00E92E5D"/>
    <w:rsid w:val="00E9688A"/>
    <w:rsid w:val="00E96D52"/>
    <w:rsid w:val="00EA1761"/>
    <w:rsid w:val="00EA3540"/>
    <w:rsid w:val="00EA43EB"/>
    <w:rsid w:val="00EB1061"/>
    <w:rsid w:val="00EB2BE6"/>
    <w:rsid w:val="00EB4E75"/>
    <w:rsid w:val="00EC1D7E"/>
    <w:rsid w:val="00EC2632"/>
    <w:rsid w:val="00EC2A79"/>
    <w:rsid w:val="00EE041F"/>
    <w:rsid w:val="00EF28BA"/>
    <w:rsid w:val="00F00718"/>
    <w:rsid w:val="00F01F25"/>
    <w:rsid w:val="00F02854"/>
    <w:rsid w:val="00F206B5"/>
    <w:rsid w:val="00F31862"/>
    <w:rsid w:val="00F444D0"/>
    <w:rsid w:val="00F462D1"/>
    <w:rsid w:val="00F47FED"/>
    <w:rsid w:val="00F57DDD"/>
    <w:rsid w:val="00F613A2"/>
    <w:rsid w:val="00F63C6E"/>
    <w:rsid w:val="00F64CCA"/>
    <w:rsid w:val="00F66821"/>
    <w:rsid w:val="00F67871"/>
    <w:rsid w:val="00F72234"/>
    <w:rsid w:val="00F76958"/>
    <w:rsid w:val="00F76E4B"/>
    <w:rsid w:val="00F83407"/>
    <w:rsid w:val="00F90051"/>
    <w:rsid w:val="00F94676"/>
    <w:rsid w:val="00FA2259"/>
    <w:rsid w:val="00FA5657"/>
    <w:rsid w:val="00FB3BC5"/>
    <w:rsid w:val="00FB741C"/>
    <w:rsid w:val="00FC0208"/>
    <w:rsid w:val="00FC74A6"/>
    <w:rsid w:val="00FD1EEA"/>
    <w:rsid w:val="00FD5D35"/>
    <w:rsid w:val="00FE335C"/>
    <w:rsid w:val="00FE7A6D"/>
    <w:rsid w:val="00FF1BC7"/>
    <w:rsid w:val="00FF5F6F"/>
    <w:rsid w:val="00FF7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F14A2"/>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link w:val="BodyTextChar"/>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53A0F"/>
    <w:pPr>
      <w:tabs>
        <w:tab w:val="left" w:pos="880"/>
        <w:tab w:val="right" w:leader="dot" w:pos="9350"/>
      </w:tabs>
      <w:spacing w:before="120" w:after="120"/>
      <w:ind w:left="900" w:hanging="66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nhideWhenUsed/>
    <w:rsid w:val="007E7099"/>
    <w:pPr>
      <w:spacing w:before="100" w:beforeAutospacing="1" w:after="119"/>
    </w:pPr>
    <w:rPr>
      <w:rFonts w:ascii="Times New Roman" w:hAnsi="Times New Roman"/>
      <w:lang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eastAsia="fr-CA"/>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BodyTextChar">
    <w:name w:val="Body Text Char"/>
    <w:basedOn w:val="DefaultParagraphFont"/>
    <w:link w:val="BodyText"/>
    <w:rsid w:val="00E92E5D"/>
    <w:rPr>
      <w:rFonts w:ascii="Arial" w:hAnsi="Arial" w:cs="Arial"/>
      <w:color w:val="000000"/>
      <w:sz w:val="18"/>
      <w:szCs w:val="19"/>
      <w:lang w:eastAsia="en-US"/>
    </w:rPr>
  </w:style>
  <w:style w:type="character" w:customStyle="1" w:styleId="FooterChar">
    <w:name w:val="Footer Char"/>
    <w:basedOn w:val="DefaultParagraphFont"/>
    <w:link w:val="Footer"/>
    <w:uiPriority w:val="99"/>
    <w:rsid w:val="005B2CA1"/>
    <w:rPr>
      <w:rFonts w:ascii="Arial" w:hAnsi="Arial"/>
      <w:sz w:val="24"/>
      <w:szCs w:val="24"/>
      <w:lang w:eastAsia="en-US"/>
    </w:rPr>
  </w:style>
  <w:style w:type="character" w:styleId="IntenseEmphasis">
    <w:name w:val="Intense Emphasis"/>
    <w:uiPriority w:val="21"/>
    <w:rsid w:val="00607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07900434">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90418422">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66A65.843008F0" TargetMode="External"/><Relationship Id="rId18" Type="http://schemas.openxmlformats.org/officeDocument/2006/relationships/hyperlink" Target="https://www.ontario.ca/fr/page/bureau-de-larpenteur-general" TargetMode="External"/><Relationship Id="rId26" Type="http://schemas.openxmlformats.org/officeDocument/2006/relationships/hyperlink" Target="http://ao.minisisinc.com/scripts/mwimain.dll/144/ARCH_DESC_FACT/FACTSDESC/REFD+RG+1-163?SESSIONSEARCH" TargetMode="External"/><Relationship Id="rId39" Type="http://schemas.openxmlformats.org/officeDocument/2006/relationships/hyperlink" Target="mailto:reference@ontario.ca" TargetMode="External"/><Relationship Id="rId3" Type="http://schemas.openxmlformats.org/officeDocument/2006/relationships/customXml" Target="../customXml/item3.xml"/><Relationship Id="rId21" Type="http://schemas.openxmlformats.org/officeDocument/2006/relationships/hyperlink" Target="http://ao.minisisinc.com/scripts/mwimain.dll/144/ARCH_DESC_FACT/FACTSDESC/REFD+F+501-2?SESSIONSEARCH" TargetMode="External"/><Relationship Id="rId34" Type="http://schemas.openxmlformats.org/officeDocument/2006/relationships/hyperlink" Target="http://ao.minisisinc.com/scripts/mwimain.dll/144/ARCH_LISTINGS?DIRECTSEARCH" TargetMode="External"/><Relationship Id="rId42" Type="http://schemas.openxmlformats.org/officeDocument/2006/relationships/hyperlink" Target="http://www.archives.gov.on.ca/fr/access/research_guides.aspx"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o.minisisinc.com/scripts/mwimain.dll/144/ARCH_DESC_FACT/FACTSDESC/REFD+RG+1-59?SESSIONSEARCH" TargetMode="External"/><Relationship Id="rId25" Type="http://schemas.openxmlformats.org/officeDocument/2006/relationships/hyperlink" Target="http://ao.minisisinc.com/scripts/mwimain.dll/144/ARCH_DESC_FACT/FACTSDESC/REFD+RG+1-84?SESSIONSEARCH" TargetMode="External"/><Relationship Id="rId33" Type="http://schemas.openxmlformats.org/officeDocument/2006/relationships/hyperlink" Target="http://ao.minisisinc.com/scripts/mwimain.dll/144/ARCH_DESC_FACT/FACTSDESC/REFD+RG+1-100?SESSIONSEARCH" TargetMode="External"/><Relationship Id="rId38" Type="http://schemas.openxmlformats.org/officeDocument/2006/relationships/hyperlink" Target="mailto:reference@ontario.c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hives.gov.on.ca/fr/access/documents/research_guide_205_land_recordsf.pdf" TargetMode="External"/><Relationship Id="rId20" Type="http://schemas.openxmlformats.org/officeDocument/2006/relationships/hyperlink" Target="http://ao.minisisinc.com/scripts/mwimain.dll/144/ARCH_DESC_FACT/FACTSDESC/REFD+F+501-1?SESSIONSEARCH" TargetMode="External"/><Relationship Id="rId29" Type="http://schemas.openxmlformats.org/officeDocument/2006/relationships/hyperlink" Target="http://www.archives.gov.on.ca/fr/access/documents/research_guide_231_finding_land_registration_recordsf.pdf" TargetMode="External"/><Relationship Id="rId41" Type="http://schemas.openxmlformats.org/officeDocument/2006/relationships/hyperlink" Target="http://www.ontario.ca/arch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ao.minisisinc.com/scripts/mwimain.dll/144/ARCH_DESC_FACT/FACTSDESC/REFD+RG+1-162?SESSIONSEARCH" TargetMode="External"/><Relationship Id="rId32" Type="http://schemas.openxmlformats.org/officeDocument/2006/relationships/hyperlink" Target="http://www.archives.gov.on.ca/fr/about/patent-plans.aspx" TargetMode="External"/><Relationship Id="rId37" Type="http://schemas.openxmlformats.org/officeDocument/2006/relationships/image" Target="media/image5.png"/><Relationship Id="rId40" Type="http://schemas.openxmlformats.org/officeDocument/2006/relationships/hyperlink" Target="http://www.ontario.ca/archive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llectionscanada.gc.ca" TargetMode="External"/><Relationship Id="rId23" Type="http://schemas.openxmlformats.org/officeDocument/2006/relationships/hyperlink" Target="https://www.peterborough.ca/en/explore-and-play/museum-and-archives.aspx" TargetMode="External"/><Relationship Id="rId28" Type="http://schemas.openxmlformats.org/officeDocument/2006/relationships/hyperlink" Target="http://www.archives.gov.on.ca/en/microfilm/canco.aspx"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archives.gov.on.ca/fr/access/documents/research_guide_225_resources_for_researching_land_recordsf.pdf" TargetMode="External"/><Relationship Id="rId31" Type="http://schemas.openxmlformats.org/officeDocument/2006/relationships/hyperlink" Target="http://ao.minisisinc.com/scripts/mwimain.dll/144/ARCH_DESC_FACT/FACTSDESC/REFD+RG+1-470?SESSIONSEARCH"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fr/microfilm/index.aspx" TargetMode="External"/><Relationship Id="rId22" Type="http://schemas.openxmlformats.org/officeDocument/2006/relationships/hyperlink" Target="http://ao.minisisinc.com/scripts/mwimain.dll/144/ARCH_DESC_FACT/FACTSDESC/REFD+F+61?SESSIONSEARCH" TargetMode="External"/><Relationship Id="rId27" Type="http://schemas.openxmlformats.org/officeDocument/2006/relationships/hyperlink" Target="http://www.archives.gov.on.ca/fr/access/documents/research_guide_225_resources_for_researching_land_recordsf.pdf" TargetMode="External"/><Relationship Id="rId30" Type="http://schemas.openxmlformats.org/officeDocument/2006/relationships/hyperlink" Target="http://ao.minisisinc.com/scripts/mwimain.dll/144/ARCH_DESC_FACT/FACTSDESC/REFD+C+277?SESSIONSEARCH" TargetMode="External"/><Relationship Id="rId35" Type="http://schemas.openxmlformats.org/officeDocument/2006/relationships/image" Target="media/image3.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7906-315B-4788-8F81-29E177573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DCA29-9296-4FE7-AFCC-82C40AC38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9DF23-3567-45FF-AD3C-23EB556AA18C}">
  <ds:schemaRefs>
    <ds:schemaRef ds:uri="http://schemas.microsoft.com/sharepoint/v3/contenttype/forms"/>
  </ds:schemaRefs>
</ds:datastoreItem>
</file>

<file path=customXml/itemProps4.xml><?xml version="1.0" encoding="utf-8"?>
<ds:datastoreItem xmlns:ds="http://schemas.openxmlformats.org/officeDocument/2006/customXml" ds:itemID="{FE37746E-B137-4204-99C9-23E27684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4633</Words>
  <Characters>26413</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30985</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Hill, Shalene (MGCS)</cp:lastModifiedBy>
  <cp:revision>4</cp:revision>
  <cp:lastPrinted>2009-07-20T17:04:00Z</cp:lastPrinted>
  <dcterms:created xsi:type="dcterms:W3CDTF">2022-04-06T14:47:00Z</dcterms:created>
  <dcterms:modified xsi:type="dcterms:W3CDTF">2022-06-06T16:13:00Z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2022-03-11T21:05:08Z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