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77" w:rsidRDefault="00D40C77" w:rsidP="00350639"/>
    <w:p w:rsidR="00D40C77" w:rsidRDefault="00D40C77" w:rsidP="00350639"/>
    <w:p w:rsidR="00D40C77" w:rsidRDefault="00D40C77" w:rsidP="00350639"/>
    <w:p w:rsidR="00D40C77" w:rsidRPr="00350639" w:rsidRDefault="00876480" w:rsidP="00350639">
      <w:r w:rsidRPr="00762225">
        <w:t xml:space="preserve">Stratégie d’acquisition des documents privés des </w:t>
      </w:r>
      <w:r w:rsidR="00D40C77" w:rsidRPr="00762225">
        <w:t xml:space="preserve">Archives </w:t>
      </w:r>
      <w:r w:rsidR="00532F89" w:rsidRPr="00762225">
        <w:t xml:space="preserve">publiques </w:t>
      </w:r>
      <w:r w:rsidRPr="00762225">
        <w:t>de l’Ontario</w:t>
      </w:r>
    </w:p>
    <w:p w:rsidR="00D40C77" w:rsidRPr="008756C1" w:rsidRDefault="00876480" w:rsidP="008756C1">
      <w:pPr>
        <w:pStyle w:val="Heading1"/>
      </w:pPr>
      <w:bookmarkStart w:id="0" w:name="OLE_LINK1"/>
      <w:bookmarkStart w:id="1" w:name="OLE_LINK2"/>
      <w:bookmarkStart w:id="2" w:name="_Toc469910372"/>
      <w:r w:rsidRPr="008756C1">
        <w:t>Rapport d’analyse du</w:t>
      </w:r>
      <w:r w:rsidR="00D40C77" w:rsidRPr="008756C1">
        <w:t xml:space="preserve"> </w:t>
      </w:r>
      <w:bookmarkEnd w:id="0"/>
      <w:bookmarkEnd w:id="1"/>
      <w:r w:rsidRPr="008756C1">
        <w:rPr>
          <w:b/>
        </w:rPr>
        <w:t xml:space="preserve">secteur </w:t>
      </w:r>
      <w:r w:rsidR="00532F89" w:rsidRPr="008756C1">
        <w:rPr>
          <w:b/>
        </w:rPr>
        <w:t>des services communautaires</w:t>
      </w:r>
      <w:r w:rsidR="00532F89" w:rsidRPr="008756C1">
        <w:t xml:space="preserve"> </w:t>
      </w:r>
      <w:r w:rsidRPr="008756C1">
        <w:t>en</w:t>
      </w:r>
      <w:r w:rsidR="001A7077" w:rsidRPr="008756C1">
        <w:t xml:space="preserve"> Ontario</w:t>
      </w:r>
      <w:bookmarkEnd w:id="2"/>
      <w:r w:rsidR="008C395F" w:rsidRPr="008756C1">
        <w:t xml:space="preserve"> </w:t>
      </w:r>
    </w:p>
    <w:p w:rsidR="00D40C77" w:rsidRPr="00876480" w:rsidRDefault="00D40C77" w:rsidP="00350639"/>
    <w:p w:rsidR="00D40C77" w:rsidRPr="008756C1" w:rsidRDefault="00AB0A8D" w:rsidP="00350639">
      <w:pPr>
        <w:rPr>
          <w:b/>
        </w:rPr>
      </w:pPr>
      <w:r w:rsidRPr="008756C1">
        <w:rPr>
          <w:b/>
        </w:rPr>
        <w:t>Version</w:t>
      </w:r>
      <w:r w:rsidR="00274921" w:rsidRPr="008756C1">
        <w:rPr>
          <w:b/>
        </w:rPr>
        <w:t> </w:t>
      </w:r>
      <w:r w:rsidR="00207CEA" w:rsidRPr="008756C1">
        <w:rPr>
          <w:b/>
        </w:rPr>
        <w:t>1</w:t>
      </w:r>
    </w:p>
    <w:p w:rsidR="00F4566C" w:rsidRPr="008756C1" w:rsidRDefault="006A0894" w:rsidP="00350639">
      <w:pPr>
        <w:rPr>
          <w:b/>
        </w:rPr>
      </w:pPr>
      <w:r w:rsidRPr="008756C1">
        <w:rPr>
          <w:b/>
        </w:rPr>
        <w:t>Septemb</w:t>
      </w:r>
      <w:r w:rsidR="00876480" w:rsidRPr="008756C1">
        <w:rPr>
          <w:b/>
        </w:rPr>
        <w:t>re</w:t>
      </w:r>
      <w:r w:rsidR="006855EC" w:rsidRPr="008756C1">
        <w:rPr>
          <w:b/>
        </w:rPr>
        <w:t xml:space="preserve"> </w:t>
      </w:r>
      <w:r w:rsidR="00207CEA" w:rsidRPr="008756C1">
        <w:rPr>
          <w:b/>
        </w:rPr>
        <w:t>2015</w:t>
      </w:r>
    </w:p>
    <w:p w:rsidR="00FE2E1B" w:rsidRDefault="00FE2E1B" w:rsidP="00350639"/>
    <w:p w:rsidR="00E95576" w:rsidRDefault="00FE2E1B" w:rsidP="00350639">
      <w:r>
        <w:br w:type="page"/>
      </w:r>
    </w:p>
    <w:sdt>
      <w:sdtPr>
        <w:id w:val="-475060878"/>
        <w:docPartObj>
          <w:docPartGallery w:val="Table of Contents"/>
          <w:docPartUnique/>
        </w:docPartObj>
      </w:sdtPr>
      <w:sdtEndPr>
        <w:rPr>
          <w:rFonts w:ascii="Arial" w:eastAsia="Times New Roman" w:hAnsi="Arial" w:cs="Arial"/>
          <w:noProof/>
          <w:color w:val="auto"/>
          <w:sz w:val="24"/>
          <w:szCs w:val="24"/>
          <w:lang w:val="fr-CA" w:eastAsia="en-CA"/>
        </w:rPr>
      </w:sdtEndPr>
      <w:sdtContent>
        <w:p w:rsidR="006C41D3" w:rsidRPr="006C41D3" w:rsidRDefault="006C41D3" w:rsidP="008756C1">
          <w:pPr>
            <w:pStyle w:val="TOCHeading"/>
            <w:rPr>
              <w:rStyle w:val="Heading1Char"/>
              <w:color w:val="auto"/>
              <w:sz w:val="28"/>
              <w:szCs w:val="28"/>
            </w:rPr>
          </w:pPr>
          <w:r w:rsidRPr="006C41D3">
            <w:rPr>
              <w:rStyle w:val="Heading1Char"/>
              <w:color w:val="auto"/>
              <w:sz w:val="28"/>
              <w:szCs w:val="28"/>
            </w:rPr>
            <w:t>Table des matières</w:t>
          </w:r>
        </w:p>
        <w:p w:rsidR="006C41D3" w:rsidRDefault="006C41D3">
          <w:pPr>
            <w:pStyle w:val="TOC1"/>
            <w:tabs>
              <w:tab w:val="right" w:leader="dot" w:pos="863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9910373" w:history="1">
            <w:r w:rsidRPr="000252DE">
              <w:rPr>
                <w:rStyle w:val="Hyperlink"/>
                <w:noProof/>
              </w:rPr>
              <w:t>1. Objet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_Toc469910373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1D3" w:rsidRDefault="006C41D3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469910374" w:history="1">
            <w:r w:rsidRPr="000252DE">
              <w:rPr>
                <w:rStyle w:val="Hyperlink"/>
                <w:noProof/>
              </w:rPr>
              <w:t>2. Aperçu du secteur des services communautaires en Ontario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_Toc469910374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1D3" w:rsidRDefault="006C41D3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469910375" w:history="1">
            <w:r w:rsidRPr="000252DE">
              <w:rPr>
                <w:rStyle w:val="Hyperlink"/>
                <w:noProof/>
              </w:rPr>
              <w:t>3. Analyse des collections des Archives publiques de l’Ontario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_Toc469910375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1D3" w:rsidRDefault="006C41D3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469910376" w:history="1">
            <w:r w:rsidRPr="000252DE">
              <w:rPr>
                <w:rStyle w:val="Hyperlink"/>
                <w:noProof/>
              </w:rPr>
              <w:t>4. Méthode d’analyse du secteur des services communautaires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_Toc469910376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1D3" w:rsidRDefault="006C41D3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469910377" w:history="1">
            <w:r w:rsidRPr="000252DE">
              <w:rPr>
                <w:rStyle w:val="Hyperlink"/>
                <w:noProof/>
              </w:rPr>
              <w:t>Identification des sous-secteurs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_Toc469910377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1D3" w:rsidRDefault="006C41D3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469910378" w:history="1">
            <w:r w:rsidRPr="000252DE">
              <w:rPr>
                <w:rStyle w:val="Hyperlink"/>
                <w:noProof/>
              </w:rPr>
              <w:t>5. Analyse des sous-secteurs des services communautaires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_Toc469910378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1D3" w:rsidRDefault="006C41D3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469910379" w:history="1">
            <w:r w:rsidRPr="000252DE">
              <w:rPr>
                <w:rStyle w:val="Hyperlink"/>
                <w:noProof/>
              </w:rPr>
              <w:t>Sous-secteurs et catégories du secteur des services communautaires: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_Toc469910379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1D3" w:rsidRDefault="006C41D3">
          <w:pPr>
            <w:pStyle w:val="TOC2"/>
            <w:tabs>
              <w:tab w:val="right" w:leader="dot" w:pos="8630"/>
            </w:tabs>
            <w:rPr>
              <w:noProof/>
            </w:rPr>
          </w:pPr>
          <w:hyperlink w:anchor="_Toc469910380" w:history="1">
            <w:r w:rsidRPr="000252DE">
              <w:rPr>
                <w:rStyle w:val="Hyperlink"/>
                <w:noProof/>
              </w:rPr>
              <w:t>Liens fonctionnels du gouvernement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_Toc469910380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1D3" w:rsidRDefault="006C41D3">
          <w:pPr>
            <w:pStyle w:val="TOC1"/>
            <w:tabs>
              <w:tab w:val="right" w:leader="dot" w:pos="8630"/>
            </w:tabs>
            <w:rPr>
              <w:noProof/>
            </w:rPr>
          </w:pPr>
          <w:hyperlink w:anchor="_Toc469910381" w:history="1">
            <w:r w:rsidRPr="000252DE">
              <w:rPr>
                <w:rStyle w:val="Hyperlink"/>
                <w:noProof/>
              </w:rPr>
              <w:t>Annexe A : Analyse des sous-secteurs des services communautaires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_Toc469910381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C41D3" w:rsidRDefault="006C41D3" w:rsidP="006C41D3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212AF7" w:rsidRPr="008756C1" w:rsidRDefault="00E95576" w:rsidP="008756C1">
      <w:pPr>
        <w:pStyle w:val="Heading1"/>
      </w:pPr>
      <w:r w:rsidRPr="00532F89">
        <w:br w:type="page"/>
      </w:r>
      <w:bookmarkStart w:id="3" w:name="_Toc469910373"/>
      <w:r w:rsidR="00483AA9" w:rsidRPr="008756C1">
        <w:lastRenderedPageBreak/>
        <w:t xml:space="preserve">1. </w:t>
      </w:r>
      <w:r w:rsidR="0075021A" w:rsidRPr="008756C1">
        <w:t>Objet</w:t>
      </w:r>
      <w:bookmarkEnd w:id="3"/>
    </w:p>
    <w:p w:rsidR="00D55529" w:rsidRPr="00762225" w:rsidRDefault="00762225" w:rsidP="00350639">
      <w:r>
        <w:t>Le présent</w:t>
      </w:r>
      <w:r w:rsidR="00876480" w:rsidRPr="00762225">
        <w:t xml:space="preserve"> rapport vise à appliquer les recommandations clés de la Stratégie d’acquisition des documents privés des Archives publiques de l’Ontario en examinant les principaux secteurs de l’Ontario. Il met au premier plan les sous-secteurs ou les domaines du secteur </w:t>
      </w:r>
      <w:r w:rsidR="00532F89" w:rsidRPr="00762225">
        <w:t>des services communautaires</w:t>
      </w:r>
      <w:r w:rsidR="00CD55A4" w:rsidRPr="00762225">
        <w:t xml:space="preserve"> </w:t>
      </w:r>
      <w:r w:rsidR="00876480" w:rsidRPr="00762225">
        <w:t>qui sont plus propices à produire des documents d’intérêt provincial.</w:t>
      </w:r>
      <w:r w:rsidR="009379CB" w:rsidRPr="00762225">
        <w:t xml:space="preserve"> </w:t>
      </w:r>
    </w:p>
    <w:p w:rsidR="00C16F90" w:rsidRPr="00762225" w:rsidRDefault="00C16F90" w:rsidP="00350639"/>
    <w:p w:rsidR="00482DA2" w:rsidRPr="00762225" w:rsidRDefault="00542D02" w:rsidP="00350639">
      <w:r w:rsidRPr="00762225">
        <w:t>Les services communautaires sont au cœur d</w:t>
      </w:r>
      <w:r w:rsidR="00274921">
        <w:t>’</w:t>
      </w:r>
      <w:r w:rsidRPr="00762225">
        <w:t>une société saine et productive.</w:t>
      </w:r>
      <w:r w:rsidR="002F6D5E" w:rsidRPr="00762225">
        <w:t xml:space="preserve"> </w:t>
      </w:r>
      <w:r w:rsidR="00AB768D" w:rsidRPr="00762225">
        <w:t xml:space="preserve">Ils permettent à des citoyens de </w:t>
      </w:r>
      <w:r w:rsidR="00A3561A" w:rsidRPr="00762225">
        <w:t xml:space="preserve">se remettre de difficultés, </w:t>
      </w:r>
      <w:r w:rsidR="00AB768D" w:rsidRPr="00762225">
        <w:t xml:space="preserve">de </w:t>
      </w:r>
      <w:r w:rsidR="00A3561A" w:rsidRPr="00762225">
        <w:t xml:space="preserve">reprendre le contrôle de leur vie, </w:t>
      </w:r>
      <w:r w:rsidR="00AB768D" w:rsidRPr="00762225">
        <w:t>de</w:t>
      </w:r>
      <w:r w:rsidR="002F6D5E" w:rsidRPr="00762225">
        <w:t xml:space="preserve"> </w:t>
      </w:r>
      <w:r w:rsidR="00A3561A" w:rsidRPr="00762225">
        <w:t xml:space="preserve">surmonter les obstacles et les </w:t>
      </w:r>
      <w:r w:rsidR="002F6D5E" w:rsidRPr="00762225">
        <w:t xml:space="preserve">barrières </w:t>
      </w:r>
      <w:r w:rsidRPr="00762225">
        <w:t xml:space="preserve">et </w:t>
      </w:r>
      <w:r w:rsidR="00AB768D" w:rsidRPr="00762225">
        <w:t>de</w:t>
      </w:r>
      <w:r w:rsidRPr="00762225">
        <w:t xml:space="preserve"> participer pleinement à la société malgré leur handicap</w:t>
      </w:r>
      <w:r w:rsidR="00AB768D" w:rsidRPr="00762225">
        <w:t>. Ces services sont donc essentiels à leur</w:t>
      </w:r>
      <w:r w:rsidR="002F6D5E" w:rsidRPr="00762225">
        <w:t xml:space="preserve"> </w:t>
      </w:r>
      <w:r w:rsidRPr="00762225">
        <w:t xml:space="preserve">fonctionnement quotidien et </w:t>
      </w:r>
      <w:r w:rsidR="00AB768D" w:rsidRPr="00762225">
        <w:t xml:space="preserve">ils contribuent </w:t>
      </w:r>
      <w:r w:rsidR="002F6D5E" w:rsidRPr="00762225">
        <w:t xml:space="preserve">au </w:t>
      </w:r>
      <w:r w:rsidRPr="00762225">
        <w:t>bien-être des citoyens de l</w:t>
      </w:r>
      <w:r w:rsidR="00274921">
        <w:t>’</w:t>
      </w:r>
      <w:r w:rsidRPr="00762225">
        <w:t>Ontario.</w:t>
      </w:r>
      <w:r w:rsidR="002F6D5E" w:rsidRPr="00762225">
        <w:t xml:space="preserve"> </w:t>
      </w:r>
      <w:r w:rsidR="005D1A0D" w:rsidRPr="00762225">
        <w:t xml:space="preserve">Par conséquent, </w:t>
      </w:r>
      <w:r w:rsidR="00AB768D" w:rsidRPr="00762225">
        <w:t>il est hautement nécessaire</w:t>
      </w:r>
      <w:r w:rsidR="005D1A0D" w:rsidRPr="00762225">
        <w:t xml:space="preserve"> de documenter ce secteur.</w:t>
      </w:r>
    </w:p>
    <w:p w:rsidR="00883E88" w:rsidRPr="00762225" w:rsidRDefault="00883E88" w:rsidP="00350639"/>
    <w:p w:rsidR="00214801" w:rsidRPr="00350639" w:rsidRDefault="00876480" w:rsidP="00350639">
      <w:r w:rsidRPr="00762225">
        <w:t xml:space="preserve">L’identification et l’évaluation des activités du secteur </w:t>
      </w:r>
      <w:r w:rsidR="00532F89" w:rsidRPr="00762225">
        <w:t>des services communautaires</w:t>
      </w:r>
      <w:r w:rsidR="00AE69D5" w:rsidRPr="00762225">
        <w:t xml:space="preserve"> </w:t>
      </w:r>
      <w:r w:rsidRPr="00762225">
        <w:t>guideront et appuieront la politique d’acquisition des documents privés du secteur</w:t>
      </w:r>
      <w:r w:rsidR="009773BA" w:rsidRPr="00762225">
        <w:t xml:space="preserve"> </w:t>
      </w:r>
      <w:r w:rsidR="00532F89" w:rsidRPr="00762225">
        <w:t>des services communautaires</w:t>
      </w:r>
      <w:r w:rsidR="006F2696" w:rsidRPr="00762225">
        <w:t xml:space="preserve"> </w:t>
      </w:r>
      <w:r w:rsidRPr="00762225">
        <w:t xml:space="preserve">dans la </w:t>
      </w:r>
      <w:r w:rsidRPr="00762225">
        <w:rPr>
          <w:i/>
          <w:iCs/>
        </w:rPr>
        <w:t>Stratégie d’acquisition des documents privés des Archives publiques de l’Ontario</w:t>
      </w:r>
      <w:r w:rsidR="00883E88" w:rsidRPr="00762225">
        <w:t>.</w:t>
      </w:r>
    </w:p>
    <w:p w:rsidR="00212AF7" w:rsidRPr="00762225" w:rsidRDefault="00483AA9" w:rsidP="008756C1">
      <w:pPr>
        <w:pStyle w:val="Heading1"/>
      </w:pPr>
      <w:bookmarkStart w:id="4" w:name="_Toc469910374"/>
      <w:r w:rsidRPr="00762225">
        <w:t xml:space="preserve">2. </w:t>
      </w:r>
      <w:r w:rsidR="00876480" w:rsidRPr="00762225">
        <w:t xml:space="preserve">Aperçu du secteur </w:t>
      </w:r>
      <w:r w:rsidR="00532F89" w:rsidRPr="00762225">
        <w:t>des services communautaires</w:t>
      </w:r>
      <w:r w:rsidR="001E3E45" w:rsidRPr="00762225">
        <w:t xml:space="preserve"> </w:t>
      </w:r>
      <w:r w:rsidR="00876480" w:rsidRPr="00762225">
        <w:t>e</w:t>
      </w:r>
      <w:r w:rsidR="00AA5AE7" w:rsidRPr="00762225">
        <w:t>n Ontario</w:t>
      </w:r>
      <w:bookmarkEnd w:id="4"/>
    </w:p>
    <w:p w:rsidR="00FF0182" w:rsidRPr="00350639" w:rsidRDefault="00542D02" w:rsidP="00350639">
      <w:pPr>
        <w:rPr>
          <w:b/>
        </w:rPr>
      </w:pPr>
      <w:r w:rsidRPr="00350639">
        <w:t xml:space="preserve">La </w:t>
      </w:r>
      <w:r w:rsidR="002F6D5E" w:rsidRPr="00350639">
        <w:t>prestation</w:t>
      </w:r>
      <w:r w:rsidRPr="00350639">
        <w:t xml:space="preserve"> de services communautaires </w:t>
      </w:r>
      <w:r w:rsidR="00AB768D" w:rsidRPr="00350639">
        <w:t>en</w:t>
      </w:r>
      <w:r w:rsidRPr="00350639">
        <w:t xml:space="preserve"> Ontario est </w:t>
      </w:r>
      <w:r w:rsidR="00AB768D" w:rsidRPr="00350639">
        <w:t xml:space="preserve">une composante essentielle </w:t>
      </w:r>
      <w:r w:rsidR="00762225" w:rsidRPr="00350639">
        <w:t xml:space="preserve">pour </w:t>
      </w:r>
      <w:r w:rsidR="00AB768D" w:rsidRPr="00350639">
        <w:t>notre</w:t>
      </w:r>
      <w:r w:rsidRPr="00350639">
        <w:t xml:space="preserve"> société. </w:t>
      </w:r>
      <w:r w:rsidR="002F6D5E" w:rsidRPr="00350639">
        <w:t>L</w:t>
      </w:r>
      <w:r w:rsidR="00AB768D" w:rsidRPr="00350639">
        <w:t xml:space="preserve">’offre de soutien </w:t>
      </w:r>
      <w:r w:rsidR="00A3561A" w:rsidRPr="00350639">
        <w:t>aux Ontarien</w:t>
      </w:r>
      <w:r w:rsidR="00AB768D" w:rsidRPr="00350639">
        <w:t>ne</w:t>
      </w:r>
      <w:r w:rsidR="00A3561A" w:rsidRPr="00350639">
        <w:t xml:space="preserve">s </w:t>
      </w:r>
      <w:r w:rsidR="00AB768D" w:rsidRPr="00350639">
        <w:t xml:space="preserve">et aux Ontariens </w:t>
      </w:r>
      <w:r w:rsidR="00A3561A" w:rsidRPr="00350639">
        <w:t xml:space="preserve">vulnérables, </w:t>
      </w:r>
      <w:r w:rsidR="00AB768D" w:rsidRPr="00350639">
        <w:t xml:space="preserve">dont les personnes ayant des difficultés financières et les </w:t>
      </w:r>
      <w:r w:rsidR="00A3561A" w:rsidRPr="00350639">
        <w:t xml:space="preserve">personnes handicapées, </w:t>
      </w:r>
      <w:r w:rsidRPr="00350639">
        <w:t>a été souligné</w:t>
      </w:r>
      <w:r w:rsidR="002F6D5E" w:rsidRPr="00350639">
        <w:t>e</w:t>
      </w:r>
      <w:r w:rsidRPr="00350639">
        <w:t xml:space="preserve"> dans la lettre d</w:t>
      </w:r>
      <w:r w:rsidR="002F6D5E" w:rsidRPr="00350639">
        <w:t>e</w:t>
      </w:r>
      <w:r w:rsidRPr="00350639">
        <w:t xml:space="preserve"> mandat d</w:t>
      </w:r>
      <w:r w:rsidR="002F6D5E" w:rsidRPr="00350639">
        <w:t xml:space="preserve">e la </w:t>
      </w:r>
      <w:r w:rsidR="00AB768D" w:rsidRPr="00350639">
        <w:t xml:space="preserve">première </w:t>
      </w:r>
      <w:r w:rsidRPr="00350639">
        <w:t>ministre</w:t>
      </w:r>
      <w:r w:rsidR="00762225" w:rsidRPr="00350639">
        <w:t> </w:t>
      </w:r>
      <w:r w:rsidRPr="00350639">
        <w:t xml:space="preserve">Kathleen Wynne </w:t>
      </w:r>
      <w:r w:rsidR="00762225" w:rsidRPr="00350639">
        <w:t xml:space="preserve">adressée </w:t>
      </w:r>
      <w:r w:rsidRPr="00350639">
        <w:t>au ministre des Services sociaux et communautaires</w:t>
      </w:r>
      <w:r w:rsidR="00AB768D" w:rsidRPr="00350639">
        <w:t>,</w:t>
      </w:r>
      <w:r w:rsidRPr="00350639">
        <w:t xml:space="preserve"> en 2014</w:t>
      </w:r>
      <w:r w:rsidR="00A266F3" w:rsidRPr="00350639">
        <w:t>.</w:t>
      </w:r>
      <w:r w:rsidR="00A266F3" w:rsidRPr="00350639">
        <w:rPr>
          <w:rStyle w:val="FootnoteReference"/>
        </w:rPr>
        <w:footnoteReference w:id="1"/>
      </w:r>
      <w:r w:rsidR="00FB73E9" w:rsidRPr="00350639">
        <w:t xml:space="preserve"> </w:t>
      </w:r>
      <w:r w:rsidR="00C936D6" w:rsidRPr="00350639">
        <w:t>La prestation de</w:t>
      </w:r>
      <w:r w:rsidR="005D1A0D" w:rsidRPr="00350639">
        <w:t xml:space="preserve"> «</w:t>
      </w:r>
      <w:r w:rsidR="00C936D6" w:rsidRPr="00350639">
        <w:t> </w:t>
      </w:r>
      <w:r w:rsidR="005D1A0D" w:rsidRPr="00350639">
        <w:t xml:space="preserve">services publics essentiels </w:t>
      </w:r>
      <w:r w:rsidR="00D210A5" w:rsidRPr="00350639">
        <w:t xml:space="preserve">aux </w:t>
      </w:r>
      <w:r w:rsidR="005D1A0D" w:rsidRPr="00350639">
        <w:t>familles</w:t>
      </w:r>
      <w:r w:rsidR="00C936D6" w:rsidRPr="00350639">
        <w:t> </w:t>
      </w:r>
      <w:r w:rsidR="005D1A0D" w:rsidRPr="00350639">
        <w:t>» a également été soulignée dans l</w:t>
      </w:r>
      <w:r w:rsidR="00C936D6" w:rsidRPr="00350639">
        <w:t>a lettre d</w:t>
      </w:r>
      <w:r w:rsidR="005D1A0D" w:rsidRPr="00350639">
        <w:t xml:space="preserve">e mandat </w:t>
      </w:r>
      <w:r w:rsidR="00C936D6" w:rsidRPr="00350639">
        <w:t xml:space="preserve">de la </w:t>
      </w:r>
      <w:r w:rsidR="00AB768D" w:rsidRPr="00350639">
        <w:t xml:space="preserve">première </w:t>
      </w:r>
      <w:r w:rsidR="00C936D6" w:rsidRPr="00350639">
        <w:t>ministre</w:t>
      </w:r>
      <w:r w:rsidR="00762225" w:rsidRPr="00350639">
        <w:t> </w:t>
      </w:r>
      <w:r w:rsidR="005D1A0D" w:rsidRPr="00350639">
        <w:t>Wynne</w:t>
      </w:r>
      <w:r w:rsidR="00AB768D" w:rsidRPr="00350639">
        <w:t xml:space="preserve"> </w:t>
      </w:r>
      <w:r w:rsidR="00762225" w:rsidRPr="00350639">
        <w:t xml:space="preserve">adressée </w:t>
      </w:r>
      <w:r w:rsidR="00D210A5" w:rsidRPr="00350639">
        <w:t>à la</w:t>
      </w:r>
      <w:r w:rsidR="005D1A0D" w:rsidRPr="00350639">
        <w:t xml:space="preserve"> ministre de</w:t>
      </w:r>
      <w:r w:rsidR="00D210A5" w:rsidRPr="00350639">
        <w:t>s Services à l’enfance et à la jeunesse</w:t>
      </w:r>
      <w:r w:rsidR="00FB73E9" w:rsidRPr="00350639">
        <w:t>.</w:t>
      </w:r>
      <w:r w:rsidR="00FB73E9" w:rsidRPr="00350639">
        <w:rPr>
          <w:rStyle w:val="FootnoteReference"/>
        </w:rPr>
        <w:footnoteReference w:id="2"/>
      </w:r>
    </w:p>
    <w:p w:rsidR="00665C3D" w:rsidRPr="00762225" w:rsidRDefault="00542D02" w:rsidP="00350639">
      <w:pPr>
        <w:pStyle w:val="NormalWeb"/>
        <w:rPr>
          <w:rFonts w:ascii="Open Sans" w:hAnsi="Open Sans"/>
          <w:color w:val="464646"/>
          <w:sz w:val="21"/>
          <w:szCs w:val="21"/>
        </w:rPr>
      </w:pPr>
      <w:r w:rsidRPr="00762225">
        <w:t>L</w:t>
      </w:r>
      <w:r w:rsidR="00274921">
        <w:t>’</w:t>
      </w:r>
      <w:r w:rsidRPr="00762225">
        <w:t xml:space="preserve">importance des services communautaires se reflète dans le budget de 2014 qui comprend </w:t>
      </w:r>
      <w:r w:rsidR="00037F64" w:rsidRPr="00762225">
        <w:t>une stratégie d</w:t>
      </w:r>
      <w:r w:rsidR="00274921">
        <w:t>’</w:t>
      </w:r>
      <w:r w:rsidR="00037F64" w:rsidRPr="00762225">
        <w:t xml:space="preserve">investissement de 810 millions </w:t>
      </w:r>
      <w:r w:rsidR="00D210A5" w:rsidRPr="00762225">
        <w:t>de dollars</w:t>
      </w:r>
      <w:r w:rsidR="00037F64" w:rsidRPr="00762225">
        <w:t xml:space="preserve"> pour les services </w:t>
      </w:r>
      <w:r w:rsidR="00D210A5" w:rsidRPr="00762225">
        <w:t>communautaires et d’aide aux personnes ayant des déficiences intellectuelles.</w:t>
      </w:r>
      <w:r w:rsidR="00F66160" w:rsidRPr="00762225">
        <w:rPr>
          <w:rStyle w:val="FootnoteReference"/>
        </w:rPr>
        <w:footnoteReference w:id="3"/>
      </w:r>
      <w:r w:rsidR="00F66160" w:rsidRPr="00762225">
        <w:t xml:space="preserve"> </w:t>
      </w:r>
      <w:r w:rsidR="00D210A5" w:rsidRPr="00762225">
        <w:t>De plus</w:t>
      </w:r>
      <w:r w:rsidRPr="00762225">
        <w:t xml:space="preserve">, en </w:t>
      </w:r>
      <w:r w:rsidR="009F79EB" w:rsidRPr="00762225">
        <w:t>a</w:t>
      </w:r>
      <w:r w:rsidRPr="00762225">
        <w:t>vril</w:t>
      </w:r>
      <w:r w:rsidR="00D210A5" w:rsidRPr="00762225">
        <w:t> </w:t>
      </w:r>
      <w:r w:rsidRPr="00762225">
        <w:t>2015, l</w:t>
      </w:r>
      <w:r w:rsidR="009F79EB" w:rsidRPr="00762225">
        <w:t xml:space="preserve">a </w:t>
      </w:r>
      <w:r w:rsidR="00D210A5" w:rsidRPr="00762225">
        <w:t xml:space="preserve">première </w:t>
      </w:r>
      <w:r w:rsidRPr="00762225">
        <w:t>ministre</w:t>
      </w:r>
      <w:r w:rsidR="00762225">
        <w:t> </w:t>
      </w:r>
      <w:r w:rsidRPr="00762225">
        <w:t xml:space="preserve">Wynne a </w:t>
      </w:r>
      <w:r w:rsidR="00A310F4" w:rsidRPr="00762225">
        <w:t xml:space="preserve">nommé les </w:t>
      </w:r>
      <w:r w:rsidR="00A310F4" w:rsidRPr="00762225">
        <w:lastRenderedPageBreak/>
        <w:t>membres du Groupe</w:t>
      </w:r>
      <w:r w:rsidRPr="00762225">
        <w:t xml:space="preserve"> consultatif </w:t>
      </w:r>
      <w:r w:rsidR="00A310F4" w:rsidRPr="00762225">
        <w:t xml:space="preserve">chargé du cadre pour les </w:t>
      </w:r>
      <w:r w:rsidR="00CD7318" w:rsidRPr="00762225">
        <w:t>carrefours</w:t>
      </w:r>
      <w:r w:rsidRPr="00762225">
        <w:t xml:space="preserve"> communautaire</w:t>
      </w:r>
      <w:r w:rsidR="009F79EB" w:rsidRPr="00762225">
        <w:t>s</w:t>
      </w:r>
      <w:r w:rsidRPr="00762225">
        <w:t xml:space="preserve">. </w:t>
      </w:r>
      <w:r w:rsidR="00037F64" w:rsidRPr="00762225">
        <w:t xml:space="preserve">Ce groupe a été créé </w:t>
      </w:r>
      <w:r w:rsidR="00A310F4" w:rsidRPr="00762225">
        <w:t>pour favoriser la mise en œuvre du plan à quatre</w:t>
      </w:r>
      <w:r w:rsidR="00762225">
        <w:t> </w:t>
      </w:r>
      <w:r w:rsidR="00A310F4" w:rsidRPr="00762225">
        <w:t xml:space="preserve">volets du gouvernement visant à </w:t>
      </w:r>
      <w:r w:rsidR="00037F64" w:rsidRPr="00762225">
        <w:t>«</w:t>
      </w:r>
      <w:r w:rsidR="009F79EB" w:rsidRPr="00762225">
        <w:t> </w:t>
      </w:r>
      <w:r w:rsidR="00CD7318" w:rsidRPr="00762225">
        <w:t>Faire progresser</w:t>
      </w:r>
      <w:r w:rsidR="00037F64" w:rsidRPr="00762225">
        <w:t xml:space="preserve"> l</w:t>
      </w:r>
      <w:r w:rsidR="00274921">
        <w:t>’</w:t>
      </w:r>
      <w:r w:rsidR="00037F64" w:rsidRPr="00762225">
        <w:t>Ontario</w:t>
      </w:r>
      <w:r w:rsidR="009F79EB" w:rsidRPr="00762225">
        <w:t> </w:t>
      </w:r>
      <w:r w:rsidR="00037F64" w:rsidRPr="00762225">
        <w:t>»</w:t>
      </w:r>
      <w:r w:rsidR="00FF0182" w:rsidRPr="00762225">
        <w:rPr>
          <w:rStyle w:val="FootnoteReference"/>
        </w:rPr>
        <w:footnoteReference w:id="4"/>
      </w:r>
      <w:r w:rsidR="00FF0182" w:rsidRPr="00762225">
        <w:t xml:space="preserve"> </w:t>
      </w:r>
      <w:r w:rsidR="00037F64" w:rsidRPr="00762225">
        <w:t xml:space="preserve">et </w:t>
      </w:r>
      <w:r w:rsidR="00A310F4" w:rsidRPr="00762225">
        <w:t>à offrir des « </w:t>
      </w:r>
      <w:r w:rsidR="00037F64" w:rsidRPr="00762225">
        <w:t xml:space="preserve">services communautaires </w:t>
      </w:r>
      <w:r w:rsidR="00A310F4" w:rsidRPr="00762225">
        <w:t xml:space="preserve">de qualité, </w:t>
      </w:r>
      <w:r w:rsidR="00037F64" w:rsidRPr="00762225">
        <w:t xml:space="preserve">accessibles et </w:t>
      </w:r>
      <w:r w:rsidR="00A310F4" w:rsidRPr="00762225">
        <w:t>efficaces </w:t>
      </w:r>
      <w:r w:rsidR="00103155" w:rsidRPr="00762225">
        <w:t>»</w:t>
      </w:r>
      <w:r w:rsidR="00037F64" w:rsidRPr="00762225">
        <w:t>.</w:t>
      </w:r>
      <w:r w:rsidR="00FF0182" w:rsidRPr="00762225">
        <w:rPr>
          <w:rStyle w:val="FootnoteReference"/>
          <w:color w:val="1B1A1A"/>
        </w:rPr>
        <w:footnoteReference w:id="5"/>
      </w:r>
      <w:r w:rsidR="00665C3D" w:rsidRPr="00762225">
        <w:rPr>
          <w:b/>
          <w:bCs/>
          <w:color w:val="1B1A1A"/>
        </w:rPr>
        <w:t xml:space="preserve"> </w:t>
      </w:r>
      <w:r w:rsidR="00A310F4" w:rsidRPr="00762225">
        <w:t>Aussi</w:t>
      </w:r>
      <w:r w:rsidRPr="00762225">
        <w:t>, en 2013, le gouvernement de l</w:t>
      </w:r>
      <w:r w:rsidR="00274921">
        <w:t>’</w:t>
      </w:r>
      <w:r w:rsidRPr="00762225">
        <w:t xml:space="preserve">Ontario a créé le </w:t>
      </w:r>
      <w:r w:rsidR="0075021A" w:rsidRPr="00762225">
        <w:t xml:space="preserve">tout </w:t>
      </w:r>
      <w:r w:rsidRPr="00762225">
        <w:t xml:space="preserve">premier </w:t>
      </w:r>
      <w:r w:rsidR="00CD7318" w:rsidRPr="00762225">
        <w:t>C</w:t>
      </w:r>
      <w:r w:rsidR="0075021A" w:rsidRPr="00762225">
        <w:t xml:space="preserve">onseil </w:t>
      </w:r>
      <w:r w:rsidR="00CD7318" w:rsidRPr="00762225">
        <w:t xml:space="preserve">de la première </w:t>
      </w:r>
      <w:r w:rsidRPr="00762225">
        <w:t xml:space="preserve">ministre </w:t>
      </w:r>
      <w:r w:rsidR="00CD7318" w:rsidRPr="00762225">
        <w:t>pour de meilleures p</w:t>
      </w:r>
      <w:r w:rsidRPr="00762225">
        <w:t xml:space="preserve">erspectives </w:t>
      </w:r>
      <w:r w:rsidR="00CD7318" w:rsidRPr="00762225">
        <w:t xml:space="preserve">pour la </w:t>
      </w:r>
      <w:r w:rsidRPr="00762225">
        <w:t xml:space="preserve">jeunesse </w:t>
      </w:r>
      <w:r w:rsidR="00CD7318" w:rsidRPr="00762225">
        <w:t xml:space="preserve">afin </w:t>
      </w:r>
      <w:r w:rsidR="0075021A" w:rsidRPr="00762225">
        <w:t>« </w:t>
      </w:r>
      <w:r w:rsidR="00B03859" w:rsidRPr="00762225">
        <w:t xml:space="preserve">d’établir un dialogue avec </w:t>
      </w:r>
      <w:r w:rsidR="005D1A0D" w:rsidRPr="00762225">
        <w:t xml:space="preserve">les jeunes, les jeunes professionnels et les partenaires </w:t>
      </w:r>
      <w:r w:rsidR="00B03859" w:rsidRPr="00762225">
        <w:t xml:space="preserve">de la communauté </w:t>
      </w:r>
      <w:r w:rsidR="005D1A0D" w:rsidRPr="00762225">
        <w:t xml:space="preserve">pour </w:t>
      </w:r>
      <w:r w:rsidR="00B03859" w:rsidRPr="00762225">
        <w:t xml:space="preserve">faire en sorte que </w:t>
      </w:r>
      <w:r w:rsidR="005D1A0D" w:rsidRPr="00762225">
        <w:t xml:space="preserve">les jeunes de </w:t>
      </w:r>
      <w:r w:rsidR="00B03859" w:rsidRPr="00762225">
        <w:t xml:space="preserve">l’ensemble de </w:t>
      </w:r>
      <w:r w:rsidR="005D1A0D" w:rsidRPr="00762225">
        <w:t xml:space="preserve">la province </w:t>
      </w:r>
      <w:r w:rsidR="00B03859" w:rsidRPr="00762225">
        <w:t xml:space="preserve">disposent des </w:t>
      </w:r>
      <w:r w:rsidR="005D1A0D" w:rsidRPr="00762225">
        <w:t xml:space="preserve">outils </w:t>
      </w:r>
      <w:r w:rsidR="00B03859" w:rsidRPr="00762225">
        <w:t xml:space="preserve">nécessaires </w:t>
      </w:r>
      <w:r w:rsidR="005D1A0D" w:rsidRPr="00762225">
        <w:t>pour réussir</w:t>
      </w:r>
      <w:r w:rsidR="00665C3D" w:rsidRPr="00762225">
        <w:t>.</w:t>
      </w:r>
      <w:r w:rsidR="0075021A" w:rsidRPr="00762225">
        <w:t> »</w:t>
      </w:r>
      <w:r w:rsidR="00665C3D" w:rsidRPr="00762225">
        <w:rPr>
          <w:rStyle w:val="FootnoteReference"/>
          <w:rFonts w:ascii="Open Sans" w:hAnsi="Open Sans"/>
          <w:sz w:val="21"/>
          <w:szCs w:val="21"/>
          <w:lang w:val="en"/>
        </w:rPr>
        <w:footnoteReference w:id="6"/>
      </w:r>
    </w:p>
    <w:p w:rsidR="00350639" w:rsidRDefault="00542D02" w:rsidP="00350639">
      <w:r w:rsidRPr="00350639">
        <w:t xml:space="preserve">Créé en 1972, le ministère des Services sociaux et communautaires (MSSC) </w:t>
      </w:r>
      <w:r w:rsidR="00B03859" w:rsidRPr="00350639">
        <w:t xml:space="preserve">s’est vu confier les responsabilités de l’ancien </w:t>
      </w:r>
      <w:proofErr w:type="spellStart"/>
      <w:r w:rsidR="00B03859" w:rsidRPr="00350639">
        <w:t>Department</w:t>
      </w:r>
      <w:proofErr w:type="spellEnd"/>
      <w:r w:rsidR="00B03859" w:rsidRPr="00350639">
        <w:t xml:space="preserve"> of Social and </w:t>
      </w:r>
      <w:proofErr w:type="spellStart"/>
      <w:r w:rsidR="00B03859" w:rsidRPr="00350639">
        <w:t>Family</w:t>
      </w:r>
      <w:proofErr w:type="spellEnd"/>
      <w:r w:rsidR="00B03859" w:rsidRPr="00350639">
        <w:t xml:space="preserve"> Services</w:t>
      </w:r>
      <w:r w:rsidRPr="00350639">
        <w:t xml:space="preserve">. En </w:t>
      </w:r>
      <w:r w:rsidR="00B03859" w:rsidRPr="00350639">
        <w:t>o</w:t>
      </w:r>
      <w:r w:rsidRPr="00350639">
        <w:t>ctobre</w:t>
      </w:r>
      <w:r w:rsidR="00762225" w:rsidRPr="00350639">
        <w:t> </w:t>
      </w:r>
      <w:r w:rsidRPr="00350639">
        <w:t xml:space="preserve">2003, la plupart des responsabilités </w:t>
      </w:r>
      <w:r w:rsidR="00B03859" w:rsidRPr="00350639">
        <w:t>liées à</w:t>
      </w:r>
      <w:r w:rsidRPr="00350639">
        <w:t xml:space="preserve"> la fonction des services à l</w:t>
      </w:r>
      <w:r w:rsidR="00274921" w:rsidRPr="00350639">
        <w:t>’</w:t>
      </w:r>
      <w:r w:rsidRPr="00350639">
        <w:t xml:space="preserve">enfance et à la famille </w:t>
      </w:r>
      <w:r w:rsidR="00037F64" w:rsidRPr="00350639">
        <w:t>ont été transféré</w:t>
      </w:r>
      <w:r w:rsidR="0075021A" w:rsidRPr="00350639">
        <w:t>e</w:t>
      </w:r>
      <w:r w:rsidR="00037F64" w:rsidRPr="00350639">
        <w:t xml:space="preserve">s au nouveau ministère </w:t>
      </w:r>
      <w:r w:rsidR="00114312" w:rsidRPr="00350639">
        <w:t xml:space="preserve">des Services à </w:t>
      </w:r>
      <w:r w:rsidR="00037F64" w:rsidRPr="00350639">
        <w:t>l</w:t>
      </w:r>
      <w:r w:rsidR="00274921" w:rsidRPr="00350639">
        <w:t>’</w:t>
      </w:r>
      <w:r w:rsidR="00037F64" w:rsidRPr="00350639">
        <w:t>enfance et à la jeunesse (MSEJ)</w:t>
      </w:r>
      <w:r w:rsidR="00C731C9" w:rsidRPr="00350639">
        <w:t>.</w:t>
      </w:r>
    </w:p>
    <w:p w:rsidR="00350639" w:rsidRPr="00350639" w:rsidRDefault="00350639" w:rsidP="00350639"/>
    <w:p w:rsidR="00DB66DF" w:rsidRPr="00350639" w:rsidRDefault="00114312" w:rsidP="00350639">
      <w:r w:rsidRPr="00350639">
        <w:t xml:space="preserve">Par l’entremise de ses </w:t>
      </w:r>
      <w:r w:rsidR="00A3561A" w:rsidRPr="00350639">
        <w:t xml:space="preserve">programmes et </w:t>
      </w:r>
      <w:r w:rsidRPr="00350639">
        <w:t xml:space="preserve">de ses </w:t>
      </w:r>
      <w:r w:rsidR="00A3561A" w:rsidRPr="00350639">
        <w:t xml:space="preserve">services, le MSSC aide les adultes ayant une déficience intellectuelle </w:t>
      </w:r>
      <w:r w:rsidR="00D71E05" w:rsidRPr="00350639">
        <w:t xml:space="preserve">à </w:t>
      </w:r>
      <w:r w:rsidRPr="00350639">
        <w:t xml:space="preserve">bien </w:t>
      </w:r>
      <w:r w:rsidR="00A3561A" w:rsidRPr="00350639">
        <w:t xml:space="preserve">vivre, </w:t>
      </w:r>
      <w:r w:rsidR="00D71E05" w:rsidRPr="00350639">
        <w:t>à t</w:t>
      </w:r>
      <w:r w:rsidR="00A3561A" w:rsidRPr="00350639">
        <w:t xml:space="preserve">ravailler et </w:t>
      </w:r>
      <w:r w:rsidR="00D71E05" w:rsidRPr="00350639">
        <w:t xml:space="preserve">à </w:t>
      </w:r>
      <w:r w:rsidR="00A3561A" w:rsidRPr="00350639">
        <w:t xml:space="preserve">participer à </w:t>
      </w:r>
      <w:r w:rsidRPr="00350639">
        <w:t xml:space="preserve">différentes </w:t>
      </w:r>
      <w:r w:rsidR="00A3561A" w:rsidRPr="00350639">
        <w:t>activités communautaires</w:t>
      </w:r>
      <w:r w:rsidR="00D71E05" w:rsidRPr="00350639">
        <w:t>,</w:t>
      </w:r>
      <w:r w:rsidR="00542D02" w:rsidRPr="00350639">
        <w:t xml:space="preserve"> </w:t>
      </w:r>
      <w:r w:rsidRPr="00350639">
        <w:t xml:space="preserve">met à exécution les ordonnances </w:t>
      </w:r>
      <w:r w:rsidR="00542D02" w:rsidRPr="00350639">
        <w:t xml:space="preserve">rendues par les tribunaux </w:t>
      </w:r>
      <w:r w:rsidRPr="00350639">
        <w:t xml:space="preserve">pour que </w:t>
      </w:r>
      <w:r w:rsidR="00542D02" w:rsidRPr="00350639">
        <w:t xml:space="preserve">les familles </w:t>
      </w:r>
      <w:r w:rsidRPr="00350639">
        <w:t xml:space="preserve">obtiennent </w:t>
      </w:r>
      <w:r w:rsidR="00542D02" w:rsidRPr="00350639">
        <w:t>l</w:t>
      </w:r>
      <w:r w:rsidR="00274921" w:rsidRPr="00350639">
        <w:t>’</w:t>
      </w:r>
      <w:r w:rsidR="00542D02" w:rsidRPr="00350639">
        <w:t xml:space="preserve">argent auquel </w:t>
      </w:r>
      <w:r w:rsidRPr="00350639">
        <w:t xml:space="preserve">elles </w:t>
      </w:r>
      <w:r w:rsidR="00542D02" w:rsidRPr="00350639">
        <w:t>ont droit</w:t>
      </w:r>
      <w:r w:rsidR="00D71E05" w:rsidRPr="00350639">
        <w:t xml:space="preserve">, </w:t>
      </w:r>
      <w:r w:rsidR="00A3561A" w:rsidRPr="00350639">
        <w:t xml:space="preserve">et aide les </w:t>
      </w:r>
      <w:r w:rsidRPr="00350639">
        <w:t xml:space="preserve">Ontariennes et les </w:t>
      </w:r>
      <w:r w:rsidR="00A3561A" w:rsidRPr="00350639">
        <w:t xml:space="preserve">Ontariens à se </w:t>
      </w:r>
      <w:r w:rsidRPr="00350639">
        <w:t xml:space="preserve">relever de leurs </w:t>
      </w:r>
      <w:r w:rsidR="00A3561A" w:rsidRPr="00350639">
        <w:t xml:space="preserve">difficultés et </w:t>
      </w:r>
      <w:r w:rsidR="00D71E05" w:rsidRPr="00350639">
        <w:t>à</w:t>
      </w:r>
      <w:r w:rsidR="00A3561A" w:rsidRPr="00350639">
        <w:t xml:space="preserve"> reprendre </w:t>
      </w:r>
      <w:r w:rsidRPr="00350639">
        <w:t>leur vie en mains</w:t>
      </w:r>
      <w:r w:rsidR="00A3561A" w:rsidRPr="00350639">
        <w:t xml:space="preserve">. </w:t>
      </w:r>
      <w:r w:rsidR="00D71E05" w:rsidRPr="00350639">
        <w:t xml:space="preserve">Le </w:t>
      </w:r>
      <w:r w:rsidR="00542D02" w:rsidRPr="00350639">
        <w:t xml:space="preserve">MSSC exerce ses responsabilités par </w:t>
      </w:r>
      <w:r w:rsidRPr="00350639">
        <w:t xml:space="preserve">l’entremise de </w:t>
      </w:r>
      <w:r w:rsidR="00542D02" w:rsidRPr="00350639">
        <w:t>programmes d</w:t>
      </w:r>
      <w:r w:rsidR="00274921" w:rsidRPr="00350639">
        <w:t>’</w:t>
      </w:r>
      <w:r w:rsidR="00542D02" w:rsidRPr="00350639">
        <w:t xml:space="preserve">aide sociale, </w:t>
      </w:r>
      <w:r w:rsidR="00D71E05" w:rsidRPr="00350639">
        <w:t>dont</w:t>
      </w:r>
      <w:r w:rsidR="00542D02" w:rsidRPr="00350639">
        <w:t xml:space="preserve"> </w:t>
      </w:r>
      <w:r w:rsidRPr="00350639">
        <w:t xml:space="preserve">le programme Ontario au travail et le </w:t>
      </w:r>
      <w:r w:rsidR="00542D02" w:rsidRPr="00350639">
        <w:t>Programme ontarien de soutien aux personnes handicapées</w:t>
      </w:r>
      <w:r w:rsidR="00D71E05" w:rsidRPr="00350639">
        <w:t>,</w:t>
      </w:r>
      <w:r w:rsidR="00542D02" w:rsidRPr="00350639">
        <w:t xml:space="preserve"> </w:t>
      </w:r>
      <w:r w:rsidRPr="00350639">
        <w:t>de</w:t>
      </w:r>
      <w:r w:rsidR="00D71E05" w:rsidRPr="00350639">
        <w:t xml:space="preserve"> s</w:t>
      </w:r>
      <w:r w:rsidR="00037F64" w:rsidRPr="00350639">
        <w:t xml:space="preserve">ervices </w:t>
      </w:r>
      <w:r w:rsidRPr="00350639">
        <w:t>communautaires et de soutien aux personnes ayant une déficience intellectuelle</w:t>
      </w:r>
      <w:r w:rsidR="00D71E05" w:rsidRPr="00350639">
        <w:t xml:space="preserve"> </w:t>
      </w:r>
      <w:r w:rsidR="00037F64" w:rsidRPr="00350639">
        <w:t xml:space="preserve">et </w:t>
      </w:r>
      <w:r w:rsidRPr="00350639">
        <w:t>du</w:t>
      </w:r>
      <w:r w:rsidR="00037F64" w:rsidRPr="00350639">
        <w:t xml:space="preserve"> Bureau des obligations familiales</w:t>
      </w:r>
      <w:r w:rsidR="00CD7318" w:rsidRPr="00350639">
        <w:t>.</w:t>
      </w:r>
      <w:r w:rsidR="00FD5D6B" w:rsidRPr="00350639">
        <w:rPr>
          <w:rStyle w:val="FootnoteReference"/>
          <w:vertAlign w:val="baseline"/>
        </w:rPr>
        <w:footnoteReference w:id="7"/>
      </w:r>
    </w:p>
    <w:p w:rsidR="00350639" w:rsidRDefault="00350639" w:rsidP="00350639"/>
    <w:p w:rsidR="000841CA" w:rsidRDefault="00F2371D" w:rsidP="00350639">
      <w:r w:rsidRPr="00350639">
        <w:t xml:space="preserve">Le </w:t>
      </w:r>
      <w:r w:rsidR="00542D02" w:rsidRPr="00350639">
        <w:t xml:space="preserve">MSSC collabore avec les municipalités, les Premières nations et les organismes communautaires pour </w:t>
      </w:r>
      <w:r w:rsidR="00AB79A8" w:rsidRPr="00350639">
        <w:t>bien exécuter</w:t>
      </w:r>
      <w:r w:rsidR="00542D02" w:rsidRPr="00350639">
        <w:t xml:space="preserve"> </w:t>
      </w:r>
      <w:r w:rsidRPr="00350639">
        <w:t>ses</w:t>
      </w:r>
      <w:r w:rsidR="00542D02" w:rsidRPr="00350639">
        <w:t xml:space="preserve"> fonctions </w:t>
      </w:r>
      <w:r w:rsidR="00762225" w:rsidRPr="00350639">
        <w:t>fondamentales</w:t>
      </w:r>
      <w:r w:rsidR="00542D02" w:rsidRPr="00350639">
        <w:t xml:space="preserve">. </w:t>
      </w:r>
      <w:r w:rsidR="00AB79A8" w:rsidRPr="00350639">
        <w:t>Ses</w:t>
      </w:r>
      <w:r w:rsidR="00542D02" w:rsidRPr="00350639">
        <w:t xml:space="preserve"> clients comprennent</w:t>
      </w:r>
      <w:r w:rsidRPr="00350639">
        <w:t> </w:t>
      </w:r>
      <w:r w:rsidR="00542D02" w:rsidRPr="00350639">
        <w:t xml:space="preserve">les </w:t>
      </w:r>
      <w:r w:rsidR="00AB79A8" w:rsidRPr="00350639">
        <w:t xml:space="preserve">personnes </w:t>
      </w:r>
      <w:r w:rsidR="00542D02" w:rsidRPr="00350639">
        <w:t>sourd</w:t>
      </w:r>
      <w:r w:rsidR="00AB79A8" w:rsidRPr="00350639">
        <w:t>e</w:t>
      </w:r>
      <w:r w:rsidR="00542D02" w:rsidRPr="00350639">
        <w:t>s, devenu</w:t>
      </w:r>
      <w:r w:rsidR="00AB79A8" w:rsidRPr="00350639">
        <w:t>e</w:t>
      </w:r>
      <w:r w:rsidR="00542D02" w:rsidRPr="00350639">
        <w:t>s sourd</w:t>
      </w:r>
      <w:r w:rsidR="00AB79A8" w:rsidRPr="00350639">
        <w:t>e</w:t>
      </w:r>
      <w:r w:rsidR="00542D02" w:rsidRPr="00350639">
        <w:t>s et malentendant</w:t>
      </w:r>
      <w:r w:rsidR="00AB79A8" w:rsidRPr="00350639">
        <w:t>e</w:t>
      </w:r>
      <w:r w:rsidR="00542D02" w:rsidRPr="00350639">
        <w:t xml:space="preserve">s ou </w:t>
      </w:r>
      <w:r w:rsidR="00AB79A8" w:rsidRPr="00350639">
        <w:t xml:space="preserve">sourdes et </w:t>
      </w:r>
      <w:r w:rsidR="00542D02" w:rsidRPr="00350639">
        <w:t>aveugles</w:t>
      </w:r>
      <w:r w:rsidR="00AB79A8" w:rsidRPr="00350639">
        <w:t>,</w:t>
      </w:r>
      <w:r w:rsidRPr="00350639">
        <w:t xml:space="preserve"> </w:t>
      </w:r>
      <w:r w:rsidR="00A3561A" w:rsidRPr="00350639">
        <w:t>les femmes victimes de violence et leurs enfants</w:t>
      </w:r>
      <w:r w:rsidRPr="00350639">
        <w:t>,</w:t>
      </w:r>
      <w:r w:rsidR="00A3561A" w:rsidRPr="00350639">
        <w:t xml:space="preserve"> les personnes </w:t>
      </w:r>
      <w:r w:rsidR="00AB79A8" w:rsidRPr="00350639">
        <w:t>ayant des déficiences</w:t>
      </w:r>
      <w:r w:rsidR="00A3561A" w:rsidRPr="00350639">
        <w:t xml:space="preserve">, </w:t>
      </w:r>
      <w:r w:rsidR="00542D02" w:rsidRPr="00350639">
        <w:t>y compris une déficience intellectuelle</w:t>
      </w:r>
      <w:r w:rsidRPr="00350639">
        <w:t>,</w:t>
      </w:r>
      <w:r w:rsidR="00542D02" w:rsidRPr="00350639">
        <w:t xml:space="preserve"> les </w:t>
      </w:r>
      <w:r w:rsidR="00AB79A8" w:rsidRPr="00350639">
        <w:t xml:space="preserve">personnes ayant </w:t>
      </w:r>
      <w:r w:rsidR="00542D02" w:rsidRPr="00350639">
        <w:t xml:space="preserve">besoin de soutien </w:t>
      </w:r>
      <w:r w:rsidRPr="00350639">
        <w:t>au</w:t>
      </w:r>
      <w:r w:rsidR="00542D02" w:rsidRPr="00350639">
        <w:t xml:space="preserve"> revenu et </w:t>
      </w:r>
      <w:r w:rsidRPr="00350639">
        <w:t xml:space="preserve">à </w:t>
      </w:r>
      <w:r w:rsidR="00542D02" w:rsidRPr="00350639">
        <w:t>l</w:t>
      </w:r>
      <w:r w:rsidR="00274921" w:rsidRPr="00350639">
        <w:t>’</w:t>
      </w:r>
      <w:r w:rsidR="00542D02" w:rsidRPr="00350639">
        <w:t>emploi</w:t>
      </w:r>
      <w:r w:rsidRPr="00350639">
        <w:t xml:space="preserve">, </w:t>
      </w:r>
      <w:r w:rsidR="00A3561A" w:rsidRPr="00350639">
        <w:t xml:space="preserve">les </w:t>
      </w:r>
      <w:r w:rsidR="00AB79A8" w:rsidRPr="00350639">
        <w:t xml:space="preserve">Autochtones </w:t>
      </w:r>
      <w:r w:rsidR="00A3561A" w:rsidRPr="00350639">
        <w:t>et le</w:t>
      </w:r>
      <w:r w:rsidR="00AB79A8" w:rsidRPr="00350639">
        <w:t>ur</w:t>
      </w:r>
      <w:r w:rsidR="00A3561A" w:rsidRPr="00350639">
        <w:t xml:space="preserve">s </w:t>
      </w:r>
      <w:r w:rsidRPr="00350639">
        <w:t>collectivités,</w:t>
      </w:r>
      <w:r w:rsidR="00A3561A" w:rsidRPr="00350639">
        <w:t xml:space="preserve"> les conjoints et les enfants </w:t>
      </w:r>
      <w:r w:rsidR="00AB79A8" w:rsidRPr="00350639">
        <w:t xml:space="preserve">ayant droit </w:t>
      </w:r>
      <w:r w:rsidR="00A3561A" w:rsidRPr="00350639">
        <w:t xml:space="preserve">à une pension alimentaire </w:t>
      </w:r>
      <w:r w:rsidR="00AB79A8" w:rsidRPr="00350639">
        <w:t>selon</w:t>
      </w:r>
      <w:r w:rsidR="00542D02" w:rsidRPr="00350639">
        <w:t xml:space="preserve"> une ordonnance du tribunal ou </w:t>
      </w:r>
      <w:r w:rsidR="00AB79A8" w:rsidRPr="00350639">
        <w:t>une entente</w:t>
      </w:r>
      <w:r w:rsidR="00542D02" w:rsidRPr="00350639">
        <w:t xml:space="preserve"> déposé</w:t>
      </w:r>
      <w:r w:rsidR="00762225" w:rsidRPr="00350639">
        <w:t>e</w:t>
      </w:r>
      <w:r w:rsidR="00542D02" w:rsidRPr="00350639">
        <w:t xml:space="preserve"> </w:t>
      </w:r>
      <w:r w:rsidR="00542D02" w:rsidRPr="00350639">
        <w:lastRenderedPageBreak/>
        <w:t>auprès du tribunal</w:t>
      </w:r>
      <w:r w:rsidRPr="00350639">
        <w:t>,</w:t>
      </w:r>
      <w:r w:rsidR="00542D02" w:rsidRPr="00350639">
        <w:t xml:space="preserve"> et les adultes</w:t>
      </w:r>
      <w:r w:rsidRPr="00350639">
        <w:t xml:space="preserve"> </w:t>
      </w:r>
      <w:r w:rsidR="00AB79A8" w:rsidRPr="00350639">
        <w:t xml:space="preserve">qui ont été </w:t>
      </w:r>
      <w:r w:rsidRPr="00350639">
        <w:t>adoptés</w:t>
      </w:r>
      <w:r w:rsidR="00542D02" w:rsidRPr="00350639">
        <w:t xml:space="preserve">, les parents </w:t>
      </w:r>
      <w:r w:rsidRPr="00350639">
        <w:t>biologiques</w:t>
      </w:r>
      <w:r w:rsidR="00AB79A8" w:rsidRPr="00350639">
        <w:t xml:space="preserve"> et des membres </w:t>
      </w:r>
      <w:r w:rsidR="00037F64" w:rsidRPr="00350639">
        <w:t xml:space="preserve">de la famille </w:t>
      </w:r>
      <w:r w:rsidRPr="00350639">
        <w:t>biologique</w:t>
      </w:r>
      <w:r w:rsidR="00AB79A8" w:rsidRPr="00350639">
        <w:t>, ainsi que</w:t>
      </w:r>
      <w:r w:rsidRPr="00350639">
        <w:t xml:space="preserve"> </w:t>
      </w:r>
      <w:r w:rsidR="00037F64" w:rsidRPr="00350639">
        <w:t xml:space="preserve">les parents adoptifs qui cherchent </w:t>
      </w:r>
      <w:r w:rsidR="00AB79A8" w:rsidRPr="00350639">
        <w:t xml:space="preserve">à obtenir un éventail de </w:t>
      </w:r>
      <w:r w:rsidRPr="00350639">
        <w:t xml:space="preserve">services de </w:t>
      </w:r>
      <w:r w:rsidR="00037F64" w:rsidRPr="00350639">
        <w:t xml:space="preserve">renseignements </w:t>
      </w:r>
      <w:r w:rsidR="00AB79A8" w:rsidRPr="00350639">
        <w:t>en matière d’adoption</w:t>
      </w:r>
      <w:r w:rsidR="000841CA" w:rsidRPr="00762225">
        <w:t>.</w:t>
      </w:r>
      <w:r w:rsidR="000841CA" w:rsidRPr="00762225">
        <w:rPr>
          <w:rStyle w:val="FootnoteReference"/>
        </w:rPr>
        <w:footnoteReference w:id="8"/>
      </w:r>
    </w:p>
    <w:p w:rsidR="00350639" w:rsidRPr="00A3561A" w:rsidRDefault="00350639" w:rsidP="00350639">
      <w:pPr>
        <w:rPr>
          <w:b/>
        </w:rPr>
      </w:pPr>
    </w:p>
    <w:p w:rsidR="00E03359" w:rsidRPr="00A3561A" w:rsidRDefault="0069583D" w:rsidP="00350639">
      <w:r w:rsidRPr="00762225">
        <w:t xml:space="preserve">Le </w:t>
      </w:r>
      <w:r w:rsidR="00A2406E" w:rsidRPr="00762225">
        <w:t>ministère des Services à l’enfance et à la jeunesse (</w:t>
      </w:r>
      <w:r w:rsidR="00542D02" w:rsidRPr="00762225">
        <w:t>MSEJ</w:t>
      </w:r>
      <w:r w:rsidR="00A2406E" w:rsidRPr="00762225">
        <w:t>)</w:t>
      </w:r>
      <w:r w:rsidR="00542D02" w:rsidRPr="00762225">
        <w:t xml:space="preserve"> a été créé </w:t>
      </w:r>
      <w:r w:rsidR="00A2406E" w:rsidRPr="00762225">
        <w:t>afin de réaliser les</w:t>
      </w:r>
      <w:r w:rsidRPr="00762225">
        <w:t xml:space="preserve"> </w:t>
      </w:r>
      <w:r w:rsidR="00542D02" w:rsidRPr="00762225">
        <w:t>objectifs d</w:t>
      </w:r>
      <w:r w:rsidR="00274921">
        <w:t>’</w:t>
      </w:r>
      <w:r w:rsidR="00542D02" w:rsidRPr="00762225">
        <w:t xml:space="preserve">obtenir de meilleurs résultats et une meilleure expérience de service pour les enfants, </w:t>
      </w:r>
      <w:r w:rsidR="00A3561A" w:rsidRPr="00762225">
        <w:t xml:space="preserve">les jeunes et leurs familles </w:t>
      </w:r>
      <w:r w:rsidR="00A2406E" w:rsidRPr="00762225">
        <w:t xml:space="preserve">partout en </w:t>
      </w:r>
      <w:r w:rsidR="00A3561A" w:rsidRPr="00762225">
        <w:t>Ontario</w:t>
      </w:r>
      <w:r w:rsidR="00A2406E" w:rsidRPr="00762225">
        <w:t xml:space="preserve">. Le MSEJ dessert </w:t>
      </w:r>
      <w:r w:rsidR="00A3561A" w:rsidRPr="00762225">
        <w:t>une population de plus de 2,8 millions d</w:t>
      </w:r>
      <w:r w:rsidR="00274921">
        <w:t>’</w:t>
      </w:r>
      <w:r w:rsidR="00A3561A" w:rsidRPr="00762225">
        <w:t xml:space="preserve">enfants et de jeunes </w:t>
      </w:r>
      <w:r w:rsidR="00A2406E" w:rsidRPr="00762225">
        <w:t>de 0 à 18 ans</w:t>
      </w:r>
      <w:r w:rsidR="00A3561A" w:rsidRPr="00762225">
        <w:t>.</w:t>
      </w:r>
      <w:r w:rsidR="00571E0A" w:rsidRPr="00762225">
        <w:t xml:space="preserve"> </w:t>
      </w:r>
      <w:r w:rsidR="00542D02" w:rsidRPr="00762225">
        <w:t xml:space="preserve">La majorité du financement du MSEJ est </w:t>
      </w:r>
      <w:r w:rsidR="00A2406E" w:rsidRPr="00762225">
        <w:t>attribuée</w:t>
      </w:r>
      <w:r w:rsidR="00542D02" w:rsidRPr="00762225">
        <w:t xml:space="preserve"> </w:t>
      </w:r>
      <w:r w:rsidR="00A2406E" w:rsidRPr="00762225">
        <w:t>à des</w:t>
      </w:r>
      <w:r w:rsidR="00542D02" w:rsidRPr="00762225">
        <w:t xml:space="preserve"> organismes </w:t>
      </w:r>
      <w:r w:rsidR="00A2406E" w:rsidRPr="00762225">
        <w:t>offrant des</w:t>
      </w:r>
      <w:r w:rsidR="00542D02" w:rsidRPr="00762225">
        <w:t xml:space="preserve"> services communautaires </w:t>
      </w:r>
      <w:r w:rsidR="00A2406E" w:rsidRPr="00762225">
        <w:t xml:space="preserve">sous forme de </w:t>
      </w:r>
      <w:r w:rsidR="00542D02" w:rsidRPr="00762225">
        <w:t xml:space="preserve">programmes et </w:t>
      </w:r>
      <w:r w:rsidR="00A2406E" w:rsidRPr="00762225">
        <w:t xml:space="preserve">de </w:t>
      </w:r>
      <w:r w:rsidR="00542D02" w:rsidRPr="00762225">
        <w:t xml:space="preserve">services au nom du gouvernement. </w:t>
      </w:r>
      <w:r w:rsidR="00A3561A" w:rsidRPr="00762225">
        <w:t xml:space="preserve">Le </w:t>
      </w:r>
      <w:r w:rsidR="00A2406E" w:rsidRPr="00762225">
        <w:t>M</w:t>
      </w:r>
      <w:r w:rsidR="00A3561A" w:rsidRPr="00762225">
        <w:t>inistère offre aussi directement des services par l</w:t>
      </w:r>
      <w:r w:rsidR="00C05FFF" w:rsidRPr="00762225">
        <w:t xml:space="preserve">’entremise de </w:t>
      </w:r>
      <w:r w:rsidR="00A3561A" w:rsidRPr="00762225">
        <w:t xml:space="preserve">centres de traitement </w:t>
      </w:r>
      <w:r w:rsidR="00644AB2" w:rsidRPr="00762225">
        <w:t>pour</w:t>
      </w:r>
      <w:r w:rsidR="00A3561A" w:rsidRPr="00762225">
        <w:t xml:space="preserve"> enfants et d</w:t>
      </w:r>
      <w:r w:rsidR="00644AB2" w:rsidRPr="00762225">
        <w:t xml:space="preserve">’établissements </w:t>
      </w:r>
      <w:r w:rsidR="00A3561A" w:rsidRPr="00762225">
        <w:t>pour les jeunes</w:t>
      </w:r>
      <w:r w:rsidR="00571E0A" w:rsidRPr="00762225">
        <w:t xml:space="preserve">. </w:t>
      </w:r>
      <w:r w:rsidR="00037F64" w:rsidRPr="00762225">
        <w:t xml:space="preserve">Le </w:t>
      </w:r>
      <w:r w:rsidR="00C05FFF" w:rsidRPr="00762225">
        <w:t>M</w:t>
      </w:r>
      <w:r w:rsidR="00037F64" w:rsidRPr="00762225">
        <w:t xml:space="preserve">inistère </w:t>
      </w:r>
      <w:r w:rsidR="00644AB2" w:rsidRPr="00762225">
        <w:t>définit l’orientation</w:t>
      </w:r>
      <w:r w:rsidR="00037F64" w:rsidRPr="00762225">
        <w:t xml:space="preserve">, </w:t>
      </w:r>
      <w:r w:rsidR="00644AB2" w:rsidRPr="00762225">
        <w:t xml:space="preserve">affecte </w:t>
      </w:r>
      <w:r w:rsidR="00037F64" w:rsidRPr="00762225">
        <w:t>des ressources</w:t>
      </w:r>
      <w:r w:rsidR="00762225">
        <w:t xml:space="preserve"> et</w:t>
      </w:r>
      <w:r w:rsidR="00037F64" w:rsidRPr="00762225">
        <w:t xml:space="preserve"> coordonne </w:t>
      </w:r>
      <w:r w:rsidR="00644AB2" w:rsidRPr="00762225">
        <w:t>la prestation de</w:t>
      </w:r>
      <w:r w:rsidR="00037F64" w:rsidRPr="00762225">
        <w:t xml:space="preserve"> services et </w:t>
      </w:r>
      <w:r w:rsidR="00644AB2" w:rsidRPr="00762225">
        <w:t xml:space="preserve">de </w:t>
      </w:r>
      <w:r w:rsidR="00037F64" w:rsidRPr="00762225">
        <w:t xml:space="preserve">programmes </w:t>
      </w:r>
      <w:r w:rsidR="00644AB2" w:rsidRPr="00762225">
        <w:t>liés à un</w:t>
      </w:r>
      <w:r w:rsidR="00037F64" w:rsidRPr="00762225">
        <w:t xml:space="preserve"> éventail de </w:t>
      </w:r>
      <w:r w:rsidR="00644AB2" w:rsidRPr="00762225">
        <w:t>questions touchant aux enfants et aux jeunes.</w:t>
      </w:r>
      <w:r w:rsidR="00FD5D6B" w:rsidRPr="00762225">
        <w:rPr>
          <w:rStyle w:val="FootnoteReference"/>
          <w:lang w:val="en-US"/>
        </w:rPr>
        <w:footnoteReference w:id="9"/>
      </w:r>
    </w:p>
    <w:p w:rsidR="001B16AE" w:rsidRPr="00E03623" w:rsidRDefault="00542D02" w:rsidP="00350639">
      <w:r w:rsidRPr="00E03623">
        <w:t>En plus des fonctions exercées par le MSSC et le MSEJ, il est important de souligner l</w:t>
      </w:r>
      <w:r w:rsidR="00644AB2" w:rsidRPr="00E03623">
        <w:t xml:space="preserve">’important </w:t>
      </w:r>
      <w:r w:rsidRPr="00E03623">
        <w:t xml:space="preserve">travail réalisé par la </w:t>
      </w:r>
      <w:r w:rsidR="00037F64" w:rsidRPr="00E03623">
        <w:t xml:space="preserve">Direction </w:t>
      </w:r>
      <w:r w:rsidR="00644AB2" w:rsidRPr="00E03623">
        <w:t xml:space="preserve">générale </w:t>
      </w:r>
      <w:r w:rsidR="00037F64" w:rsidRPr="00E03623">
        <w:t>de la condition féminine de l</w:t>
      </w:r>
      <w:r w:rsidR="00274921">
        <w:t>’</w:t>
      </w:r>
      <w:r w:rsidR="00037F64" w:rsidRPr="00E03623">
        <w:t xml:space="preserve">Ontario, </w:t>
      </w:r>
      <w:r w:rsidR="004712E3" w:rsidRPr="00E03623">
        <w:t xml:space="preserve">le </w:t>
      </w:r>
      <w:r w:rsidR="00037F64" w:rsidRPr="00E03623">
        <w:t xml:space="preserve">Secrétariat </w:t>
      </w:r>
      <w:r w:rsidR="00644AB2" w:rsidRPr="00E03623">
        <w:t>aux affaires des personnes âgées de l’Ontario</w:t>
      </w:r>
      <w:r w:rsidR="004712E3" w:rsidRPr="00E03623">
        <w:t xml:space="preserve"> </w:t>
      </w:r>
      <w:r w:rsidR="00037F64" w:rsidRPr="00E03623">
        <w:t>et le ministère des Affaires autochtones pour répondre aux besoins distincts de ces communautés</w:t>
      </w:r>
      <w:r w:rsidR="00A548F6" w:rsidRPr="00E03623">
        <w:t>.</w:t>
      </w:r>
    </w:p>
    <w:p w:rsidR="00116E96" w:rsidRPr="00350639" w:rsidRDefault="004712E3" w:rsidP="00350639">
      <w:r w:rsidRPr="00E03623">
        <w:t>Des</w:t>
      </w:r>
      <w:r w:rsidR="00542D02" w:rsidRPr="00E03623">
        <w:t xml:space="preserve"> activités liées aux services </w:t>
      </w:r>
      <w:r w:rsidRPr="00E03623">
        <w:t xml:space="preserve">communautaires </w:t>
      </w:r>
      <w:r w:rsidR="00542D02" w:rsidRPr="00E03623">
        <w:t>et aux</w:t>
      </w:r>
      <w:r w:rsidRPr="00E03623">
        <w:t xml:space="preserve"> services </w:t>
      </w:r>
      <w:r w:rsidR="00B907D3" w:rsidRPr="00E03623">
        <w:t>à l’enfance et à la jeunesse</w:t>
      </w:r>
      <w:r w:rsidRPr="00E03623">
        <w:t xml:space="preserve"> </w:t>
      </w:r>
      <w:r w:rsidR="00B907D3" w:rsidRPr="00E03623">
        <w:t xml:space="preserve">sont aussi </w:t>
      </w:r>
      <w:r w:rsidR="00392216">
        <w:t>menées</w:t>
      </w:r>
      <w:r w:rsidR="00542D02" w:rsidRPr="00E03623">
        <w:t xml:space="preserve"> dans le secteur privé sous la forme </w:t>
      </w:r>
      <w:r w:rsidR="00B907D3" w:rsidRPr="00E03623">
        <w:t>d’organismes</w:t>
      </w:r>
      <w:r w:rsidR="00542D02" w:rsidRPr="00E03623">
        <w:t xml:space="preserve"> de soutien </w:t>
      </w:r>
      <w:r w:rsidRPr="00E03623">
        <w:t>aux</w:t>
      </w:r>
      <w:r w:rsidR="00542D02" w:rsidRPr="00E03623">
        <w:t xml:space="preserve"> services communautaires, </w:t>
      </w:r>
      <w:r w:rsidRPr="00E03623">
        <w:t>de</w:t>
      </w:r>
      <w:r w:rsidR="00542D02" w:rsidRPr="00E03623">
        <w:t xml:space="preserve"> sociétés d</w:t>
      </w:r>
      <w:r w:rsidR="00274921">
        <w:t>’</w:t>
      </w:r>
      <w:r w:rsidR="00542D02" w:rsidRPr="00E03623">
        <w:t>aide à l</w:t>
      </w:r>
      <w:r w:rsidR="00274921">
        <w:t>’</w:t>
      </w:r>
      <w:r w:rsidR="00542D02" w:rsidRPr="00E03623">
        <w:t xml:space="preserve">enfance, </w:t>
      </w:r>
      <w:r w:rsidRPr="00E03623">
        <w:t>d’</w:t>
      </w:r>
      <w:r w:rsidR="00542D02" w:rsidRPr="00E03623">
        <w:t xml:space="preserve">associations professionnelles, </w:t>
      </w:r>
      <w:r w:rsidR="00C05FFF" w:rsidRPr="00E03623">
        <w:t>d’organismes de pression</w:t>
      </w:r>
      <w:r w:rsidR="00A3561A" w:rsidRPr="00E03623">
        <w:t xml:space="preserve">, de particuliers et de praticiens, et de centres de développement et de </w:t>
      </w:r>
      <w:r w:rsidR="00C05FFF" w:rsidRPr="00E03623">
        <w:t>réadaptation</w:t>
      </w:r>
      <w:r w:rsidR="00A3561A" w:rsidRPr="00E03623">
        <w:t>.</w:t>
      </w:r>
      <w:r w:rsidRPr="00E03623">
        <w:t xml:space="preserve"> </w:t>
      </w:r>
      <w:r w:rsidR="00B907D3" w:rsidRPr="00E03623">
        <w:t>Alors que</w:t>
      </w:r>
      <w:r w:rsidR="00542D02" w:rsidRPr="00E03623">
        <w:t xml:space="preserve"> les services communautaires </w:t>
      </w:r>
      <w:r w:rsidR="00B907D3" w:rsidRPr="00E03623">
        <w:t xml:space="preserve">constituent toujours une </w:t>
      </w:r>
      <w:r w:rsidR="00542D02" w:rsidRPr="00E03623">
        <w:t>priorité pour la province de l</w:t>
      </w:r>
      <w:r w:rsidR="00274921">
        <w:t>’</w:t>
      </w:r>
      <w:r w:rsidR="00542D02" w:rsidRPr="00E03623">
        <w:t xml:space="preserve">Ontario, </w:t>
      </w:r>
      <w:r w:rsidR="00037F64" w:rsidRPr="00E03623">
        <w:t xml:space="preserve">il </w:t>
      </w:r>
      <w:r w:rsidRPr="00E03623">
        <w:t>demeure</w:t>
      </w:r>
      <w:r w:rsidR="00037F64" w:rsidRPr="00E03623">
        <w:t xml:space="preserve"> important d</w:t>
      </w:r>
      <w:r w:rsidR="00274921">
        <w:t>’</w:t>
      </w:r>
      <w:r w:rsidR="00037F64" w:rsidRPr="00E03623">
        <w:t xml:space="preserve">examiner ces domaines du secteur privé pour </w:t>
      </w:r>
      <w:r w:rsidR="00B907D3" w:rsidRPr="00E03623">
        <w:t xml:space="preserve">y </w:t>
      </w:r>
      <w:r w:rsidR="00392216">
        <w:t>trouver</w:t>
      </w:r>
      <w:r w:rsidR="00B907D3" w:rsidRPr="00E03623">
        <w:t xml:space="preserve"> des </w:t>
      </w:r>
      <w:r w:rsidR="00037F64" w:rsidRPr="00E03623">
        <w:t xml:space="preserve">dossiers </w:t>
      </w:r>
      <w:r w:rsidR="00392216">
        <w:t xml:space="preserve">d’intérêt provincial </w:t>
      </w:r>
      <w:r w:rsidR="00B907D3" w:rsidRPr="00E03623">
        <w:t>à long terme</w:t>
      </w:r>
      <w:r w:rsidR="00D20CD5" w:rsidRPr="00E03623">
        <w:t>.</w:t>
      </w:r>
    </w:p>
    <w:p w:rsidR="00E95576" w:rsidRPr="00392216" w:rsidRDefault="00483AA9" w:rsidP="008756C1">
      <w:pPr>
        <w:pStyle w:val="Heading1"/>
      </w:pPr>
      <w:bookmarkStart w:id="5" w:name="_Toc469910375"/>
      <w:r w:rsidRPr="00392216">
        <w:t xml:space="preserve">3. </w:t>
      </w:r>
      <w:r w:rsidR="00876480" w:rsidRPr="00392216">
        <w:t>Analyse des collections des Archives publiques de l’Ontario</w:t>
      </w:r>
      <w:bookmarkEnd w:id="5"/>
      <w:r w:rsidR="00BA05EE" w:rsidRPr="00392216">
        <w:t xml:space="preserve"> </w:t>
      </w:r>
    </w:p>
    <w:p w:rsidR="00E95576" w:rsidRPr="00392216" w:rsidRDefault="00876480" w:rsidP="00350639">
      <w:pPr>
        <w:rPr>
          <w:b/>
        </w:rPr>
      </w:pPr>
      <w:r w:rsidRPr="00392216">
        <w:t xml:space="preserve">Lors de l’examen des collections des Archives publiques de l’Ontario </w:t>
      </w:r>
      <w:r w:rsidR="00532F89" w:rsidRPr="00392216">
        <w:t xml:space="preserve">pour la période </w:t>
      </w:r>
      <w:r w:rsidR="008F0FFB" w:rsidRPr="00392216">
        <w:t>ultérieure à</w:t>
      </w:r>
      <w:r w:rsidR="00532F89" w:rsidRPr="00392216">
        <w:t xml:space="preserve"> </w:t>
      </w:r>
      <w:r w:rsidR="006E0EEF" w:rsidRPr="00392216">
        <w:t>1980</w:t>
      </w:r>
      <w:r w:rsidR="00E95576" w:rsidRPr="00392216">
        <w:t xml:space="preserve">, </w:t>
      </w:r>
      <w:r w:rsidRPr="00392216">
        <w:t xml:space="preserve">une recherche </w:t>
      </w:r>
      <w:r w:rsidR="004279EE">
        <w:t>dans</w:t>
      </w:r>
      <w:r w:rsidRPr="00392216">
        <w:t xml:space="preserve"> la base des données descriptives des archives a été entreprise pour déterminer quels documents avaient été </w:t>
      </w:r>
      <w:proofErr w:type="gramStart"/>
      <w:r w:rsidRPr="00392216">
        <w:t>acquis</w:t>
      </w:r>
      <w:proofErr w:type="gramEnd"/>
      <w:r w:rsidRPr="00392216">
        <w:t xml:space="preserve"> auprès du secteur privé et complétaient les fonctions du gouvernement en matière</w:t>
      </w:r>
      <w:r w:rsidR="00C16F90" w:rsidRPr="00392216">
        <w:t xml:space="preserve"> </w:t>
      </w:r>
      <w:r w:rsidRPr="00392216">
        <w:t xml:space="preserve">de </w:t>
      </w:r>
      <w:r w:rsidR="004712E3" w:rsidRPr="00392216">
        <w:t>prestation</w:t>
      </w:r>
      <w:r w:rsidR="00037F64" w:rsidRPr="00392216">
        <w:t xml:space="preserve"> de services communautaires, </w:t>
      </w:r>
      <w:r w:rsidR="00392216">
        <w:t>notamment</w:t>
      </w:r>
      <w:r w:rsidR="00037F64" w:rsidRPr="00392216">
        <w:t xml:space="preserve"> la surveillance des fournisseurs de services.</w:t>
      </w:r>
      <w:r w:rsidR="00C16F90" w:rsidRPr="00392216">
        <w:t xml:space="preserve"> </w:t>
      </w:r>
      <w:r w:rsidRPr="00392216">
        <w:t xml:space="preserve">Cette recherche a révélé que les collections des </w:t>
      </w:r>
      <w:r w:rsidRPr="00392216">
        <w:lastRenderedPageBreak/>
        <w:t xml:space="preserve">Archives publiques </w:t>
      </w:r>
      <w:r w:rsidR="00255C34" w:rsidRPr="00392216">
        <w:t xml:space="preserve">ne </w:t>
      </w:r>
      <w:r w:rsidRPr="00392216">
        <w:t>contenaient</w:t>
      </w:r>
      <w:r w:rsidR="00E95576" w:rsidRPr="00392216">
        <w:t xml:space="preserve"> </w:t>
      </w:r>
      <w:r w:rsidR="00255C34" w:rsidRPr="00392216">
        <w:t>qu’</w:t>
      </w:r>
      <w:r w:rsidR="00542D02" w:rsidRPr="00392216">
        <w:t xml:space="preserve">un petit nombre de </w:t>
      </w:r>
      <w:r w:rsidRPr="00392216">
        <w:t xml:space="preserve">documents </w:t>
      </w:r>
      <w:r w:rsidR="00542D02" w:rsidRPr="00392216">
        <w:t>privés document</w:t>
      </w:r>
      <w:r w:rsidR="003A3485" w:rsidRPr="00392216">
        <w:t>a</w:t>
      </w:r>
      <w:r w:rsidR="00542D02" w:rsidRPr="00392216">
        <w:t xml:space="preserve">nt certaines des fonctions exercées par le </w:t>
      </w:r>
      <w:r w:rsidR="00037F64" w:rsidRPr="00392216">
        <w:t>ministère des Services sociaux et communautaires et le ministère des Services à l</w:t>
      </w:r>
      <w:r w:rsidR="00274921">
        <w:t>’</w:t>
      </w:r>
      <w:r w:rsidR="00037F64" w:rsidRPr="00392216">
        <w:t xml:space="preserve">enfance </w:t>
      </w:r>
      <w:r w:rsidR="00C05FFF" w:rsidRPr="00392216">
        <w:t xml:space="preserve">et à la jeunesse </w:t>
      </w:r>
      <w:r w:rsidR="00037F64" w:rsidRPr="00392216">
        <w:t xml:space="preserve">et ses </w:t>
      </w:r>
      <w:r w:rsidR="00C05FFF" w:rsidRPr="00392216">
        <w:t>organismes</w:t>
      </w:r>
      <w:r w:rsidR="00037F64" w:rsidRPr="00392216">
        <w:t xml:space="preserve"> pour </w:t>
      </w:r>
      <w:r w:rsidR="003A3485" w:rsidRPr="00392216">
        <w:t xml:space="preserve">la période </w:t>
      </w:r>
      <w:r w:rsidR="00C05FFF" w:rsidRPr="00392216">
        <w:t xml:space="preserve">ultérieure à </w:t>
      </w:r>
      <w:r w:rsidR="003A3485" w:rsidRPr="00392216">
        <w:t>1980.</w:t>
      </w:r>
    </w:p>
    <w:p w:rsidR="00E95576" w:rsidRPr="00392216" w:rsidRDefault="00E95576" w:rsidP="00350639"/>
    <w:p w:rsidR="00007204" w:rsidRPr="00392216" w:rsidRDefault="00532F89" w:rsidP="00350639">
      <w:r w:rsidRPr="00392216">
        <w:t>Les Archives publiques de l’Ontario</w:t>
      </w:r>
      <w:r w:rsidR="000877E1" w:rsidRPr="00392216">
        <w:t xml:space="preserve"> </w:t>
      </w:r>
      <w:r w:rsidR="00876480" w:rsidRPr="00392216">
        <w:t>indiquent que les sept</w:t>
      </w:r>
      <w:r w:rsidR="00392216">
        <w:t> </w:t>
      </w:r>
      <w:r w:rsidR="00876480" w:rsidRPr="00392216">
        <w:t>fonctions fondamentales du</w:t>
      </w:r>
      <w:r w:rsidR="003A3485" w:rsidRPr="00392216">
        <w:t xml:space="preserve"> </w:t>
      </w:r>
      <w:r w:rsidRPr="00392216">
        <w:t>m</w:t>
      </w:r>
      <w:r w:rsidR="00037F64" w:rsidRPr="00392216">
        <w:t>inistère de</w:t>
      </w:r>
      <w:r w:rsidR="00FD01D3" w:rsidRPr="00392216">
        <w:t>s Services sociaux et communautaires</w:t>
      </w:r>
      <w:r w:rsidR="00037F64" w:rsidRPr="00392216">
        <w:t xml:space="preserve"> </w:t>
      </w:r>
      <w:r w:rsidR="00876480" w:rsidRPr="00392216">
        <w:t>sont les suivantes</w:t>
      </w:r>
      <w:r w:rsidR="00274921">
        <w:t> </w:t>
      </w:r>
      <w:r w:rsidR="00037F64" w:rsidRPr="00392216">
        <w:t>:</w:t>
      </w:r>
    </w:p>
    <w:p w:rsidR="00FD6F68" w:rsidRPr="00392216" w:rsidRDefault="00FD6F68" w:rsidP="00350639"/>
    <w:p w:rsidR="00D246AA" w:rsidRPr="00392216" w:rsidRDefault="00392216" w:rsidP="00350639">
      <w:pPr>
        <w:pStyle w:val="ListParagraph"/>
        <w:numPr>
          <w:ilvl w:val="0"/>
          <w:numId w:val="10"/>
        </w:numPr>
      </w:pPr>
      <w:r>
        <w:t>S</w:t>
      </w:r>
      <w:r w:rsidR="0050052C" w:rsidRPr="00392216">
        <w:t xml:space="preserve">outien </w:t>
      </w:r>
      <w:r w:rsidR="00FD01D3" w:rsidRPr="00392216">
        <w:t>de</w:t>
      </w:r>
      <w:r w:rsidR="0050052C" w:rsidRPr="00392216">
        <w:t xml:space="preserve"> l</w:t>
      </w:r>
      <w:r w:rsidR="00274921">
        <w:t>’</w:t>
      </w:r>
      <w:r w:rsidR="0050052C" w:rsidRPr="00392216">
        <w:t>emploi</w:t>
      </w:r>
    </w:p>
    <w:p w:rsidR="00D246AA" w:rsidRPr="00392216" w:rsidRDefault="00FD01D3" w:rsidP="00350639">
      <w:pPr>
        <w:pStyle w:val="ListParagraph"/>
        <w:numPr>
          <w:ilvl w:val="0"/>
          <w:numId w:val="10"/>
        </w:numPr>
      </w:pPr>
      <w:r w:rsidRPr="00392216">
        <w:t>R</w:t>
      </w:r>
      <w:r w:rsidR="0050052C" w:rsidRPr="00392216">
        <w:t xml:space="preserve">enforcement des </w:t>
      </w:r>
      <w:r w:rsidRPr="00392216">
        <w:t>obligations familiales</w:t>
      </w:r>
    </w:p>
    <w:p w:rsidR="00D246AA" w:rsidRPr="00392216" w:rsidRDefault="00FD01D3" w:rsidP="00350639">
      <w:pPr>
        <w:pStyle w:val="ListParagraph"/>
        <w:numPr>
          <w:ilvl w:val="0"/>
          <w:numId w:val="10"/>
        </w:numPr>
      </w:pPr>
      <w:r w:rsidRPr="00392216">
        <w:t>P</w:t>
      </w:r>
      <w:r w:rsidR="00E02622" w:rsidRPr="00392216">
        <w:t xml:space="preserve">restation </w:t>
      </w:r>
      <w:r w:rsidR="00A3561A" w:rsidRPr="00392216">
        <w:t xml:space="preserve">de services </w:t>
      </w:r>
      <w:r w:rsidRPr="00392216">
        <w:t>pour les personnes ayant une déficience intellectuelle</w:t>
      </w:r>
    </w:p>
    <w:p w:rsidR="00D246AA" w:rsidRPr="00392216" w:rsidRDefault="00FD01D3" w:rsidP="00350639">
      <w:pPr>
        <w:pStyle w:val="ListParagraph"/>
        <w:numPr>
          <w:ilvl w:val="0"/>
          <w:numId w:val="10"/>
        </w:numPr>
      </w:pPr>
      <w:r w:rsidRPr="00392216">
        <w:t>S</w:t>
      </w:r>
      <w:r w:rsidR="00E02622" w:rsidRPr="00392216">
        <w:t>outien aux</w:t>
      </w:r>
      <w:r w:rsidR="00A3561A" w:rsidRPr="00392216">
        <w:t xml:space="preserve"> victimes </w:t>
      </w:r>
      <w:r w:rsidR="00E02622" w:rsidRPr="00392216">
        <w:t xml:space="preserve">de </w:t>
      </w:r>
      <w:r w:rsidR="00A3561A" w:rsidRPr="00392216">
        <w:t xml:space="preserve">violence </w:t>
      </w:r>
      <w:r w:rsidR="00E02622" w:rsidRPr="00392216">
        <w:t>conjugale</w:t>
      </w:r>
    </w:p>
    <w:p w:rsidR="00D246AA" w:rsidRPr="00392216" w:rsidRDefault="00FD01D3" w:rsidP="00350639">
      <w:pPr>
        <w:pStyle w:val="ListParagraph"/>
        <w:numPr>
          <w:ilvl w:val="0"/>
          <w:numId w:val="10"/>
        </w:numPr>
      </w:pPr>
      <w:r w:rsidRPr="00392216">
        <w:t>A</w:t>
      </w:r>
      <w:r w:rsidR="00A3561A" w:rsidRPr="00392216">
        <w:t xml:space="preserve">ccessibilité pour </w:t>
      </w:r>
      <w:r w:rsidR="00E02622" w:rsidRPr="00392216">
        <w:t xml:space="preserve">les </w:t>
      </w:r>
      <w:r w:rsidRPr="00392216">
        <w:t>personnes handicapées de l’Ontario</w:t>
      </w:r>
    </w:p>
    <w:p w:rsidR="00D246AA" w:rsidRPr="00392216" w:rsidRDefault="00FD01D3" w:rsidP="00350639">
      <w:pPr>
        <w:pStyle w:val="ListParagraph"/>
        <w:numPr>
          <w:ilvl w:val="0"/>
          <w:numId w:val="10"/>
        </w:numPr>
      </w:pPr>
      <w:r w:rsidRPr="00392216">
        <w:t>Prestation de s</w:t>
      </w:r>
      <w:r w:rsidR="00A3561A" w:rsidRPr="00392216">
        <w:t>ervices communautaires</w:t>
      </w:r>
      <w:r w:rsidR="00E02622" w:rsidRPr="00392216">
        <w:t xml:space="preserve"> </w:t>
      </w:r>
      <w:r w:rsidRPr="00392216">
        <w:t>aux</w:t>
      </w:r>
      <w:r w:rsidR="00E02622" w:rsidRPr="00392216">
        <w:t xml:space="preserve"> adultes</w:t>
      </w:r>
    </w:p>
    <w:p w:rsidR="00D246AA" w:rsidRPr="00392216" w:rsidRDefault="00FD01D3" w:rsidP="00350639">
      <w:pPr>
        <w:pStyle w:val="ListParagraph"/>
        <w:numPr>
          <w:ilvl w:val="0"/>
          <w:numId w:val="10"/>
        </w:numPr>
      </w:pPr>
      <w:r w:rsidRPr="00392216">
        <w:t>S</w:t>
      </w:r>
      <w:r w:rsidR="00E02622" w:rsidRPr="00392216">
        <w:t xml:space="preserve">outien </w:t>
      </w:r>
      <w:r w:rsidR="000C2AD0" w:rsidRPr="00392216">
        <w:t>du</w:t>
      </w:r>
      <w:r w:rsidR="00A3561A" w:rsidRPr="00392216">
        <w:t xml:space="preserve"> </w:t>
      </w:r>
      <w:r w:rsidR="00E02622" w:rsidRPr="00392216">
        <w:t>revenu</w:t>
      </w:r>
    </w:p>
    <w:p w:rsidR="00D246AA" w:rsidRPr="00392216" w:rsidRDefault="00D246AA" w:rsidP="00350639"/>
    <w:p w:rsidR="00D246AA" w:rsidRPr="00392216" w:rsidRDefault="00037F64" w:rsidP="00350639">
      <w:r w:rsidRPr="00392216">
        <w:t>Les Archives publiques de l</w:t>
      </w:r>
      <w:r w:rsidR="00274921">
        <w:t>’</w:t>
      </w:r>
      <w:r w:rsidRPr="00392216">
        <w:t xml:space="preserve">Ontario </w:t>
      </w:r>
      <w:r w:rsidR="00876480" w:rsidRPr="00392216">
        <w:t xml:space="preserve">indiquent que les </w:t>
      </w:r>
      <w:r w:rsidRPr="00392216">
        <w:t>cinq</w:t>
      </w:r>
      <w:r w:rsidR="00392216">
        <w:t> </w:t>
      </w:r>
      <w:r w:rsidRPr="00392216">
        <w:t xml:space="preserve">fonctions </w:t>
      </w:r>
      <w:r w:rsidR="00876480" w:rsidRPr="00392216">
        <w:t>fondamentales du</w:t>
      </w:r>
      <w:r w:rsidR="00E02622" w:rsidRPr="00392216">
        <w:t xml:space="preserve"> ministère des S</w:t>
      </w:r>
      <w:r w:rsidRPr="00392216">
        <w:t xml:space="preserve">ervices </w:t>
      </w:r>
      <w:r w:rsidR="000C2AD0" w:rsidRPr="00392216">
        <w:t>à l’enfance</w:t>
      </w:r>
      <w:r w:rsidR="00E02622" w:rsidRPr="00392216">
        <w:t xml:space="preserve"> et </w:t>
      </w:r>
      <w:r w:rsidR="00876480" w:rsidRPr="00392216">
        <w:t>à la jeunesse sont les suivantes</w:t>
      </w:r>
      <w:r w:rsidR="00E02622" w:rsidRPr="00392216">
        <w:t> :</w:t>
      </w:r>
    </w:p>
    <w:p w:rsidR="00D246AA" w:rsidRPr="00392216" w:rsidRDefault="00D246AA" w:rsidP="00350639"/>
    <w:p w:rsidR="00D246AA" w:rsidRPr="00392216" w:rsidRDefault="008F4CB5" w:rsidP="00350639">
      <w:pPr>
        <w:pStyle w:val="ListParagraph"/>
        <w:numPr>
          <w:ilvl w:val="0"/>
          <w:numId w:val="10"/>
        </w:numPr>
      </w:pPr>
      <w:r w:rsidRPr="00392216">
        <w:t xml:space="preserve"> </w:t>
      </w:r>
      <w:r w:rsidR="000C2AD0" w:rsidRPr="00392216">
        <w:t>R</w:t>
      </w:r>
      <w:r w:rsidR="00274921">
        <w:t>é</w:t>
      </w:r>
      <w:r w:rsidR="000C2AD0" w:rsidRPr="00392216">
        <w:t>glementation sur les</w:t>
      </w:r>
      <w:r w:rsidR="00A3561A" w:rsidRPr="00392216">
        <w:t xml:space="preserve"> adoptions</w:t>
      </w:r>
    </w:p>
    <w:p w:rsidR="008F4CB5" w:rsidRPr="00392216" w:rsidRDefault="008F4CB5" w:rsidP="00350639">
      <w:pPr>
        <w:pStyle w:val="ListParagraph"/>
        <w:numPr>
          <w:ilvl w:val="0"/>
          <w:numId w:val="10"/>
        </w:numPr>
      </w:pPr>
      <w:r w:rsidRPr="00392216">
        <w:t xml:space="preserve"> </w:t>
      </w:r>
      <w:r w:rsidR="00E02622" w:rsidRPr="00392216">
        <w:t>Bien-être</w:t>
      </w:r>
      <w:r w:rsidR="00A3561A" w:rsidRPr="00392216">
        <w:t xml:space="preserve">, protection et </w:t>
      </w:r>
      <w:r w:rsidR="000C2AD0" w:rsidRPr="00392216">
        <w:t>réadaptation de l’enfant</w:t>
      </w:r>
    </w:p>
    <w:p w:rsidR="00F0081C" w:rsidRPr="00392216" w:rsidRDefault="008F4CB5" w:rsidP="00350639">
      <w:pPr>
        <w:pStyle w:val="ListParagraph"/>
        <w:numPr>
          <w:ilvl w:val="0"/>
          <w:numId w:val="10"/>
        </w:numPr>
      </w:pPr>
      <w:r w:rsidRPr="00392216">
        <w:t xml:space="preserve"> </w:t>
      </w:r>
      <w:r w:rsidR="00E02622" w:rsidRPr="00392216">
        <w:t>S</w:t>
      </w:r>
      <w:r w:rsidR="00A3561A" w:rsidRPr="00392216">
        <w:t>ervices de garde et services à la petite enfance</w:t>
      </w:r>
    </w:p>
    <w:p w:rsidR="00F0081C" w:rsidRPr="00392216" w:rsidRDefault="008F4CB5" w:rsidP="00350639">
      <w:pPr>
        <w:pStyle w:val="ListParagraph"/>
        <w:numPr>
          <w:ilvl w:val="0"/>
          <w:numId w:val="10"/>
        </w:numPr>
      </w:pPr>
      <w:r w:rsidRPr="00392216">
        <w:t xml:space="preserve"> </w:t>
      </w:r>
      <w:r w:rsidR="00E02622" w:rsidRPr="00392216">
        <w:t>S</w:t>
      </w:r>
      <w:r w:rsidR="00A3561A" w:rsidRPr="00392216">
        <w:t>ervices de justice pour la jeunesse</w:t>
      </w:r>
    </w:p>
    <w:p w:rsidR="00D246AA" w:rsidRPr="00392216" w:rsidRDefault="008F4CB5" w:rsidP="00350639">
      <w:pPr>
        <w:pStyle w:val="ListParagraph"/>
        <w:numPr>
          <w:ilvl w:val="0"/>
          <w:numId w:val="10"/>
        </w:numPr>
      </w:pPr>
      <w:r w:rsidRPr="00392216">
        <w:t xml:space="preserve"> </w:t>
      </w:r>
      <w:r w:rsidR="00E02622" w:rsidRPr="00392216">
        <w:t>P</w:t>
      </w:r>
      <w:r w:rsidR="00A3561A" w:rsidRPr="00392216">
        <w:t xml:space="preserve">olitique et </w:t>
      </w:r>
      <w:r w:rsidR="00E02622" w:rsidRPr="00392216">
        <w:t xml:space="preserve">services </w:t>
      </w:r>
      <w:r w:rsidR="000C2AD0" w:rsidRPr="00392216">
        <w:t xml:space="preserve">intégrés </w:t>
      </w:r>
      <w:r w:rsidR="00E02622" w:rsidRPr="00392216">
        <w:t>pour les enfants</w:t>
      </w:r>
    </w:p>
    <w:p w:rsidR="00D246AA" w:rsidRPr="00392216" w:rsidRDefault="00D246AA" w:rsidP="00350639"/>
    <w:p w:rsidR="003F0BC3" w:rsidRPr="00392216" w:rsidRDefault="00876480" w:rsidP="00350639">
      <w:r w:rsidRPr="00392216">
        <w:t xml:space="preserve">Les collections des Archives publiques contiennent des documents </w:t>
      </w:r>
      <w:r w:rsidR="00050930" w:rsidRPr="00392216">
        <w:rPr>
          <w:bCs/>
          <w:iCs/>
        </w:rPr>
        <w:t>sur</w:t>
      </w:r>
      <w:r w:rsidR="00C93350" w:rsidRPr="00392216">
        <w:rPr>
          <w:bCs/>
          <w:iCs/>
        </w:rPr>
        <w:t xml:space="preserve"> certaines de ces fonctions,</w:t>
      </w:r>
      <w:r w:rsidR="005D074D" w:rsidRPr="00392216">
        <w:rPr>
          <w:bCs/>
          <w:iCs/>
        </w:rPr>
        <w:t xml:space="preserve"> </w:t>
      </w:r>
      <w:r w:rsidR="00A3561A" w:rsidRPr="00392216">
        <w:t xml:space="preserve">cependant, la portée et la profondeur de ces </w:t>
      </w:r>
      <w:r w:rsidR="00050930" w:rsidRPr="00392216">
        <w:t>documents</w:t>
      </w:r>
      <w:r w:rsidR="00A3561A" w:rsidRPr="00392216">
        <w:t xml:space="preserve"> varie</w:t>
      </w:r>
      <w:r w:rsidR="00C93350" w:rsidRPr="00392216">
        <w:t xml:space="preserve">nt de </w:t>
      </w:r>
      <w:r w:rsidR="00392216">
        <w:t>manière</w:t>
      </w:r>
      <w:r w:rsidR="00050930" w:rsidRPr="00392216">
        <w:t xml:space="preserve"> </w:t>
      </w:r>
      <w:r w:rsidR="00392216">
        <w:t>importante</w:t>
      </w:r>
      <w:r w:rsidR="00A3561A" w:rsidRPr="00392216">
        <w:t xml:space="preserve">. </w:t>
      </w:r>
      <w:r w:rsidR="00037F64" w:rsidRPr="00392216">
        <w:t>D</w:t>
      </w:r>
      <w:r w:rsidR="00274921">
        <w:t>’</w:t>
      </w:r>
      <w:r w:rsidR="00037F64" w:rsidRPr="00392216">
        <w:t xml:space="preserve">autres documents </w:t>
      </w:r>
      <w:r w:rsidR="00C93350" w:rsidRPr="00392216">
        <w:t>liés à</w:t>
      </w:r>
      <w:r w:rsidR="00037F64" w:rsidRPr="00392216">
        <w:t xml:space="preserve"> ces fonctions dans le secteur privé permettrai</w:t>
      </w:r>
      <w:r w:rsidR="00C93350" w:rsidRPr="00392216">
        <w:t>en</w:t>
      </w:r>
      <w:r w:rsidR="00037F64" w:rsidRPr="00392216">
        <w:t>t de combler les lacunes dans les collections des Archives.</w:t>
      </w:r>
    </w:p>
    <w:p w:rsidR="003F0BC3" w:rsidRPr="00392216" w:rsidRDefault="003F0BC3" w:rsidP="00350639"/>
    <w:p w:rsidR="003F0BC3" w:rsidRPr="00392216" w:rsidRDefault="00037F64" w:rsidP="00350639">
      <w:r w:rsidRPr="00392216">
        <w:t xml:space="preserve">Les </w:t>
      </w:r>
      <w:r w:rsidR="00717C06" w:rsidRPr="00392216">
        <w:t xml:space="preserve">collections actuelles </w:t>
      </w:r>
      <w:r w:rsidRPr="00392216">
        <w:t>du secteur privé comprennent</w:t>
      </w:r>
      <w:r w:rsidR="00C93350" w:rsidRPr="00392216">
        <w:t> </w:t>
      </w:r>
      <w:r w:rsidR="00717C06" w:rsidRPr="00392216">
        <w:t>les fonds suivants </w:t>
      </w:r>
      <w:r w:rsidRPr="00392216">
        <w:t>:</w:t>
      </w:r>
    </w:p>
    <w:p w:rsidR="003F0BC3" w:rsidRPr="00392216" w:rsidRDefault="003F0BC3" w:rsidP="00350639"/>
    <w:p w:rsidR="003F0BC3" w:rsidRPr="00392216" w:rsidRDefault="00274921" w:rsidP="00350639">
      <w:pPr>
        <w:pStyle w:val="ListParagraph"/>
        <w:numPr>
          <w:ilvl w:val="0"/>
          <w:numId w:val="23"/>
        </w:numPr>
      </w:pPr>
      <w:r>
        <w:t>4571 F</w:t>
      </w:r>
      <w:r w:rsidR="003F0BC3" w:rsidRPr="00392216">
        <w:t xml:space="preserve">, </w:t>
      </w:r>
      <w:r w:rsidR="00C93350" w:rsidRPr="00392216">
        <w:t xml:space="preserve">Fonds </w:t>
      </w:r>
      <w:r w:rsidR="008F0FFB" w:rsidRPr="00392216">
        <w:t xml:space="preserve">Timbres de Pâques </w:t>
      </w:r>
      <w:r w:rsidR="00C93350" w:rsidRPr="00392216">
        <w:t>Ontario</w:t>
      </w:r>
    </w:p>
    <w:p w:rsidR="003F0BC3" w:rsidRPr="00392216" w:rsidRDefault="00923165" w:rsidP="00350639">
      <w:pPr>
        <w:pStyle w:val="ListParagraph"/>
        <w:numPr>
          <w:ilvl w:val="0"/>
          <w:numId w:val="23"/>
        </w:numPr>
      </w:pPr>
      <w:r w:rsidRPr="00392216">
        <w:t xml:space="preserve">F 2117, </w:t>
      </w:r>
      <w:r w:rsidR="00C93350" w:rsidRPr="00392216">
        <w:t xml:space="preserve">Fonds </w:t>
      </w:r>
      <w:r w:rsidR="00995E91" w:rsidRPr="00392216">
        <w:t>COSTI</w:t>
      </w:r>
      <w:r w:rsidR="00717C06" w:rsidRPr="00392216">
        <w:t>-</w:t>
      </w:r>
      <w:r w:rsidR="00995E91" w:rsidRPr="00392216">
        <w:t>IIAS</w:t>
      </w:r>
      <w:r w:rsidR="006C3B90" w:rsidRPr="00392216">
        <w:t xml:space="preserve"> (</w:t>
      </w:r>
      <w:proofErr w:type="spellStart"/>
      <w:r w:rsidR="006C3B90" w:rsidRPr="00392216">
        <w:t>Italian</w:t>
      </w:r>
      <w:proofErr w:type="spellEnd"/>
      <w:r w:rsidR="006C3B90" w:rsidRPr="00392216">
        <w:t xml:space="preserve"> Immigrant </w:t>
      </w:r>
      <w:proofErr w:type="spellStart"/>
      <w:r w:rsidR="006C3B90" w:rsidRPr="00392216">
        <w:t>Aid</w:t>
      </w:r>
      <w:proofErr w:type="spellEnd"/>
      <w:r w:rsidR="006C3B90" w:rsidRPr="00392216">
        <w:t xml:space="preserve"> Society)</w:t>
      </w:r>
      <w:r w:rsidR="00995E91" w:rsidRPr="00392216">
        <w:t xml:space="preserve"> Immigra</w:t>
      </w:r>
      <w:r w:rsidR="003F0BC3" w:rsidRPr="00392216">
        <w:t>nt S</w:t>
      </w:r>
      <w:r w:rsidR="00C93350" w:rsidRPr="00392216">
        <w:t>ervices</w:t>
      </w:r>
    </w:p>
    <w:p w:rsidR="003F0BC3" w:rsidRPr="00392216" w:rsidRDefault="00274921" w:rsidP="00350639">
      <w:pPr>
        <w:pStyle w:val="ListParagraph"/>
        <w:numPr>
          <w:ilvl w:val="0"/>
          <w:numId w:val="23"/>
        </w:numPr>
      </w:pPr>
      <w:r>
        <w:t>4175 F</w:t>
      </w:r>
      <w:r w:rsidR="00923165" w:rsidRPr="00392216">
        <w:t xml:space="preserve">, </w:t>
      </w:r>
      <w:r w:rsidR="00C93350" w:rsidRPr="00392216">
        <w:t>Fonds de l</w:t>
      </w:r>
      <w:r w:rsidR="008F0FFB" w:rsidRPr="00392216">
        <w:t>’Association des travailleuses et travailleurs sociaux de l’Ontario</w:t>
      </w:r>
    </w:p>
    <w:p w:rsidR="00A83CEF" w:rsidRPr="00392216" w:rsidRDefault="00923165" w:rsidP="00350639">
      <w:pPr>
        <w:pStyle w:val="ListParagraph"/>
        <w:numPr>
          <w:ilvl w:val="0"/>
          <w:numId w:val="23"/>
        </w:numPr>
        <w:rPr>
          <w:lang w:val="en-GB"/>
        </w:rPr>
      </w:pPr>
      <w:r w:rsidRPr="00392216">
        <w:rPr>
          <w:lang w:val="en-GB"/>
        </w:rPr>
        <w:t xml:space="preserve">F 4336, </w:t>
      </w:r>
      <w:proofErr w:type="spellStart"/>
      <w:r w:rsidR="00C93350" w:rsidRPr="00392216">
        <w:rPr>
          <w:lang w:val="en-GB"/>
        </w:rPr>
        <w:t>Fonds</w:t>
      </w:r>
      <w:proofErr w:type="spellEnd"/>
      <w:r w:rsidR="00C93350" w:rsidRPr="00392216">
        <w:rPr>
          <w:lang w:val="en-GB"/>
        </w:rPr>
        <w:t xml:space="preserve"> de la </w:t>
      </w:r>
      <w:r w:rsidR="00995E91" w:rsidRPr="00392216">
        <w:rPr>
          <w:lang w:val="en-GB"/>
        </w:rPr>
        <w:t xml:space="preserve">West End </w:t>
      </w:r>
      <w:proofErr w:type="spellStart"/>
      <w:r w:rsidR="00995E91" w:rsidRPr="00392216">
        <w:rPr>
          <w:lang w:val="en-GB"/>
        </w:rPr>
        <w:t>Creche</w:t>
      </w:r>
      <w:proofErr w:type="spellEnd"/>
      <w:r w:rsidR="00995E91" w:rsidRPr="00392216">
        <w:rPr>
          <w:lang w:val="en-GB"/>
        </w:rPr>
        <w:t xml:space="preserve"> Child a</w:t>
      </w:r>
      <w:r w:rsidR="00C93350" w:rsidRPr="00392216">
        <w:rPr>
          <w:lang w:val="en-GB"/>
        </w:rPr>
        <w:t>nd Family Clinic</w:t>
      </w:r>
    </w:p>
    <w:p w:rsidR="002A05EC" w:rsidRPr="00392216" w:rsidRDefault="0041304C" w:rsidP="00350639">
      <w:pPr>
        <w:rPr>
          <w:lang w:val="en-GB"/>
        </w:rPr>
      </w:pPr>
      <w:r w:rsidRPr="00392216">
        <w:rPr>
          <w:lang w:val="en-GB"/>
        </w:rPr>
        <w:t xml:space="preserve"> </w:t>
      </w:r>
    </w:p>
    <w:p w:rsidR="00E95576" w:rsidRPr="00392216" w:rsidRDefault="00483AA9" w:rsidP="008756C1">
      <w:pPr>
        <w:pStyle w:val="Heading1"/>
      </w:pPr>
      <w:bookmarkStart w:id="6" w:name="_Toc469910376"/>
      <w:r w:rsidRPr="00392216">
        <w:lastRenderedPageBreak/>
        <w:t xml:space="preserve">4. </w:t>
      </w:r>
      <w:r w:rsidR="00876480" w:rsidRPr="00392216">
        <w:t xml:space="preserve">Méthode d’analyse du secteur </w:t>
      </w:r>
      <w:r w:rsidR="00532F89" w:rsidRPr="00392216">
        <w:t>des services communautaires</w:t>
      </w:r>
      <w:bookmarkEnd w:id="6"/>
    </w:p>
    <w:p w:rsidR="00E95576" w:rsidRPr="00392216" w:rsidRDefault="00876480" w:rsidP="00350639">
      <w:r w:rsidRPr="00392216">
        <w:t>Cette section décrit la méthode d’analyse et justifie la manière dont le secteur a été divisé et évalué</w:t>
      </w:r>
      <w:r w:rsidR="00483AA9" w:rsidRPr="00392216">
        <w:t>.</w:t>
      </w:r>
    </w:p>
    <w:p w:rsidR="00483AA9" w:rsidRPr="00350639" w:rsidRDefault="00876480" w:rsidP="00350639">
      <w:pPr>
        <w:pStyle w:val="Heading2"/>
      </w:pPr>
      <w:bookmarkStart w:id="7" w:name="_Toc469910377"/>
      <w:r w:rsidRPr="00350639">
        <w:t>Identification des sous-</w:t>
      </w:r>
      <w:proofErr w:type="spellStart"/>
      <w:r w:rsidRPr="00350639">
        <w:t>secteurs</w:t>
      </w:r>
      <w:bookmarkEnd w:id="7"/>
      <w:proofErr w:type="spellEnd"/>
    </w:p>
    <w:p w:rsidR="00D827D5" w:rsidRPr="00392216" w:rsidRDefault="00FB5EAA" w:rsidP="00350639">
      <w:r w:rsidRPr="00392216">
        <w:t xml:space="preserve">Les sous-secteurs du secteur </w:t>
      </w:r>
      <w:r w:rsidR="00532F89" w:rsidRPr="00392216">
        <w:t>des services communautaires</w:t>
      </w:r>
      <w:r w:rsidR="00F41A87" w:rsidRPr="00392216">
        <w:t xml:space="preserve"> </w:t>
      </w:r>
      <w:r w:rsidRPr="00392216">
        <w:t xml:space="preserve">ont été sélectionnés d’après une analyse des activités majeures liées à la gestion des </w:t>
      </w:r>
      <w:r w:rsidR="00532F89" w:rsidRPr="00392216">
        <w:t>services communautaires</w:t>
      </w:r>
      <w:r w:rsidR="000F12DC" w:rsidRPr="00392216">
        <w:t xml:space="preserve">. </w:t>
      </w:r>
      <w:r w:rsidRPr="00392216">
        <w:t>Les sous-secteurs ont été déterminés d’après les catégories principales des organismes, des entités et des particuliers qui participent à ces activités dans le secteur privé ou qui ont un intérêt pour celles-ci</w:t>
      </w:r>
      <w:r w:rsidR="00D84BFD" w:rsidRPr="00392216">
        <w:t>.</w:t>
      </w:r>
    </w:p>
    <w:p w:rsidR="00DC2DD6" w:rsidRPr="00392216" w:rsidRDefault="00483AA9" w:rsidP="008756C1">
      <w:pPr>
        <w:pStyle w:val="Heading1"/>
      </w:pPr>
      <w:bookmarkStart w:id="8" w:name="_Toc469910378"/>
      <w:r w:rsidRPr="00392216">
        <w:t xml:space="preserve">5. </w:t>
      </w:r>
      <w:r w:rsidR="00CC6168" w:rsidRPr="00392216">
        <w:t xml:space="preserve">Analyse des sous-secteurs </w:t>
      </w:r>
      <w:r w:rsidR="00532F89" w:rsidRPr="00392216">
        <w:t>des services communautaires</w:t>
      </w:r>
      <w:bookmarkEnd w:id="8"/>
    </w:p>
    <w:p w:rsidR="00FE2E1B" w:rsidRPr="00392216" w:rsidRDefault="00CC6168" w:rsidP="00350639">
      <w:r w:rsidRPr="00392216">
        <w:t xml:space="preserve">Cette section examine la portée des documents du secteur </w:t>
      </w:r>
      <w:r w:rsidR="00532F89" w:rsidRPr="00392216">
        <w:t>des services communautaires</w:t>
      </w:r>
      <w:r w:rsidR="00995E91" w:rsidRPr="00392216">
        <w:t xml:space="preserve"> </w:t>
      </w:r>
      <w:r w:rsidRPr="00392216">
        <w:t>en ce qui a trait aux points suivants </w:t>
      </w:r>
      <w:r w:rsidR="00FE2E1B" w:rsidRPr="00392216">
        <w:t xml:space="preserve">: </w:t>
      </w:r>
    </w:p>
    <w:p w:rsidR="00EE4365" w:rsidRPr="00392216" w:rsidRDefault="00EE4365" w:rsidP="00350639"/>
    <w:p w:rsidR="00EE4365" w:rsidRPr="00392216" w:rsidRDefault="00CC6168" w:rsidP="00350639">
      <w:pPr>
        <w:pStyle w:val="ListParagraph"/>
        <w:numPr>
          <w:ilvl w:val="0"/>
          <w:numId w:val="2"/>
        </w:numPr>
      </w:pPr>
      <w:r w:rsidRPr="00392216">
        <w:t xml:space="preserve">Identification et définition des sous-secteurs et des catégories du secteur </w:t>
      </w:r>
      <w:r w:rsidR="00532F89" w:rsidRPr="00392216">
        <w:t>des services communautaires</w:t>
      </w:r>
    </w:p>
    <w:p w:rsidR="00CC6168" w:rsidRPr="00392216" w:rsidRDefault="00CC6168" w:rsidP="00350639">
      <w:pPr>
        <w:pStyle w:val="ListParagraph"/>
        <w:numPr>
          <w:ilvl w:val="0"/>
          <w:numId w:val="2"/>
        </w:numPr>
      </w:pPr>
      <w:r w:rsidRPr="00392216">
        <w:t>Établissement de rapports entre les activités du secteur privé et les fonctions du gouvernement</w:t>
      </w:r>
    </w:p>
    <w:p w:rsidR="00EE4365" w:rsidRPr="00392216" w:rsidRDefault="00CC6168" w:rsidP="00350639">
      <w:pPr>
        <w:pStyle w:val="ListParagraph"/>
        <w:numPr>
          <w:ilvl w:val="0"/>
          <w:numId w:val="2"/>
        </w:numPr>
      </w:pPr>
      <w:r w:rsidRPr="00392216">
        <w:t xml:space="preserve">Identification des collections actuelles des Archives publiques de l’Ontario liées au secteur </w:t>
      </w:r>
      <w:r w:rsidR="00532F89" w:rsidRPr="00392216">
        <w:t>des services communautaires</w:t>
      </w:r>
      <w:r w:rsidRPr="00392216">
        <w:t xml:space="preserve"> (contenant des documents datant de </w:t>
      </w:r>
      <w:r w:rsidR="00392216">
        <w:t xml:space="preserve">la période ultérieure à </w:t>
      </w:r>
      <w:r w:rsidRPr="00392216">
        <w:t>1980)</w:t>
      </w:r>
    </w:p>
    <w:p w:rsidR="00CC6168" w:rsidRPr="00392216" w:rsidRDefault="00CC6168" w:rsidP="00350639">
      <w:pPr>
        <w:pStyle w:val="ListParagraph"/>
        <w:numPr>
          <w:ilvl w:val="0"/>
          <w:numId w:val="2"/>
        </w:numPr>
      </w:pPr>
      <w:r w:rsidRPr="00392216">
        <w:t>Justification de l’importance d’acquérir de la documentation dans un sous-secteur ou une catégorie</w:t>
      </w:r>
    </w:p>
    <w:p w:rsidR="00CC6168" w:rsidRPr="00392216" w:rsidRDefault="00CC6168" w:rsidP="00350639">
      <w:pPr>
        <w:pStyle w:val="ListParagraph"/>
        <w:numPr>
          <w:ilvl w:val="0"/>
          <w:numId w:val="2"/>
        </w:numPr>
      </w:pPr>
      <w:r w:rsidRPr="00392216">
        <w:t>Identification du niveau de la priorité d’acquisition pour chaque sous-secteur en fonction de la justification</w:t>
      </w:r>
    </w:p>
    <w:p w:rsidR="00221579" w:rsidRPr="00392216" w:rsidRDefault="00221579" w:rsidP="00350639"/>
    <w:p w:rsidR="003614EE" w:rsidRPr="00392216" w:rsidRDefault="00CC6168" w:rsidP="00350639">
      <w:pPr>
        <w:pStyle w:val="Heading2"/>
      </w:pPr>
      <w:bookmarkStart w:id="9" w:name="_Toc469910379"/>
      <w:r w:rsidRPr="00392216">
        <w:t xml:space="preserve">Sous-secteurs et catégories du secteur </w:t>
      </w:r>
      <w:r w:rsidR="00532F89" w:rsidRPr="00392216">
        <w:t>des services communautaires</w:t>
      </w:r>
      <w:r w:rsidR="007245D2" w:rsidRPr="00392216">
        <w:t>:</w:t>
      </w:r>
      <w:bookmarkEnd w:id="9"/>
    </w:p>
    <w:p w:rsidR="00221579" w:rsidRPr="00392216" w:rsidRDefault="00CC6168" w:rsidP="00350639">
      <w:r w:rsidRPr="00392216">
        <w:t xml:space="preserve">Pour les besoins de l’analyse, les activités du secteur </w:t>
      </w:r>
      <w:r w:rsidR="00532F89" w:rsidRPr="00392216">
        <w:t>des services communautaires</w:t>
      </w:r>
      <w:r w:rsidR="007245D2" w:rsidRPr="00392216">
        <w:t xml:space="preserve"> </w:t>
      </w:r>
      <w:r w:rsidRPr="00392216">
        <w:t xml:space="preserve">ont été réparties dans les sous-secteurs suivants à </w:t>
      </w:r>
      <w:r w:rsidR="00C93350" w:rsidRPr="00392216">
        <w:t>l’annexe</w:t>
      </w:r>
      <w:r w:rsidR="00392216">
        <w:t> </w:t>
      </w:r>
      <w:r w:rsidR="00221579" w:rsidRPr="00392216">
        <w:t>A</w:t>
      </w:r>
      <w:r w:rsidRPr="00392216">
        <w:t> :</w:t>
      </w:r>
    </w:p>
    <w:p w:rsidR="00221579" w:rsidRPr="00392216" w:rsidRDefault="00221579" w:rsidP="00350639"/>
    <w:p w:rsidR="00221579" w:rsidRPr="00392216" w:rsidRDefault="00717C06" w:rsidP="00350639">
      <w:pPr>
        <w:pStyle w:val="ListParagraph"/>
        <w:numPr>
          <w:ilvl w:val="0"/>
          <w:numId w:val="6"/>
        </w:numPr>
      </w:pPr>
      <w:r w:rsidRPr="00392216">
        <w:t xml:space="preserve">Organismes </w:t>
      </w:r>
      <w:r w:rsidR="009E2AF4" w:rsidRPr="00392216">
        <w:t xml:space="preserve">de soutien aux </w:t>
      </w:r>
      <w:r w:rsidR="00A3561A" w:rsidRPr="00392216">
        <w:t>services</w:t>
      </w:r>
      <w:r w:rsidR="009E2AF4" w:rsidRPr="00392216">
        <w:t xml:space="preserve"> communautaires</w:t>
      </w:r>
    </w:p>
    <w:p w:rsidR="007245D2" w:rsidRPr="00392216" w:rsidRDefault="009E2AF4" w:rsidP="00350639">
      <w:pPr>
        <w:pStyle w:val="ListParagraph"/>
        <w:numPr>
          <w:ilvl w:val="0"/>
          <w:numId w:val="6"/>
        </w:numPr>
      </w:pPr>
      <w:r w:rsidRPr="00392216">
        <w:t>A</w:t>
      </w:r>
      <w:r w:rsidR="00A3561A" w:rsidRPr="00392216">
        <w:t>ssociations professionnelles</w:t>
      </w:r>
    </w:p>
    <w:p w:rsidR="00221579" w:rsidRPr="00392216" w:rsidRDefault="00717C06" w:rsidP="00350639">
      <w:pPr>
        <w:pStyle w:val="ListParagraph"/>
        <w:numPr>
          <w:ilvl w:val="0"/>
          <w:numId w:val="6"/>
        </w:numPr>
      </w:pPr>
      <w:r w:rsidRPr="00392216">
        <w:t>Organismes de pression</w:t>
      </w:r>
    </w:p>
    <w:p w:rsidR="00221579" w:rsidRPr="00392216" w:rsidRDefault="00C05FFF" w:rsidP="00350639">
      <w:pPr>
        <w:pStyle w:val="ListParagraph"/>
        <w:numPr>
          <w:ilvl w:val="0"/>
          <w:numId w:val="6"/>
        </w:numPr>
      </w:pPr>
      <w:r w:rsidRPr="00392216">
        <w:t xml:space="preserve">Particuliers </w:t>
      </w:r>
      <w:r w:rsidR="00A3561A" w:rsidRPr="00392216">
        <w:t>et praticiens</w:t>
      </w:r>
    </w:p>
    <w:p w:rsidR="007245D2" w:rsidRPr="00392216" w:rsidRDefault="009E2AF4" w:rsidP="00350639">
      <w:pPr>
        <w:pStyle w:val="ListParagraph"/>
        <w:numPr>
          <w:ilvl w:val="0"/>
          <w:numId w:val="6"/>
        </w:numPr>
      </w:pPr>
      <w:r w:rsidRPr="00392216">
        <w:t>C</w:t>
      </w:r>
      <w:r w:rsidR="00A3561A" w:rsidRPr="00392216">
        <w:t xml:space="preserve">entres de développement et de </w:t>
      </w:r>
      <w:r w:rsidR="00717C06" w:rsidRPr="00392216">
        <w:t>réadaptation</w:t>
      </w:r>
    </w:p>
    <w:p w:rsidR="00037F64" w:rsidRPr="00392216" w:rsidRDefault="00037F64" w:rsidP="00350639"/>
    <w:p w:rsidR="00EB275C" w:rsidRPr="00392216" w:rsidRDefault="00CC6168" w:rsidP="00350639">
      <w:pPr>
        <w:pStyle w:val="Heading2"/>
      </w:pPr>
      <w:bookmarkStart w:id="10" w:name="_Toc469910380"/>
      <w:r w:rsidRPr="00392216">
        <w:t>Liens fonctionnels du gouvernement</w:t>
      </w:r>
      <w:bookmarkEnd w:id="10"/>
    </w:p>
    <w:p w:rsidR="000C549E" w:rsidRPr="00392216" w:rsidRDefault="00CC6168" w:rsidP="00350639">
      <w:r w:rsidRPr="00392216">
        <w:t>Les liens fonctionnels fournis</w:t>
      </w:r>
      <w:r w:rsidRPr="00392216">
        <w:rPr>
          <w:bCs/>
        </w:rPr>
        <w:t xml:space="preserve"> à l’annexe</w:t>
      </w:r>
      <w:r w:rsidR="00392216">
        <w:rPr>
          <w:bCs/>
        </w:rPr>
        <w:t> </w:t>
      </w:r>
      <w:r w:rsidRPr="00392216">
        <w:rPr>
          <w:bCs/>
        </w:rPr>
        <w:t xml:space="preserve">A </w:t>
      </w:r>
      <w:r w:rsidRPr="00392216">
        <w:t xml:space="preserve">sont fondés sur </w:t>
      </w:r>
      <w:r w:rsidR="009E2AF4" w:rsidRPr="00392216">
        <w:t>l</w:t>
      </w:r>
      <w:r w:rsidR="00037F64" w:rsidRPr="00392216">
        <w:t xml:space="preserve">es fonctions </w:t>
      </w:r>
      <w:r w:rsidRPr="00392216">
        <w:t xml:space="preserve">fondamentales </w:t>
      </w:r>
      <w:r w:rsidR="00037F64" w:rsidRPr="00392216">
        <w:t xml:space="preserve">du MSSC et du MSEJ </w:t>
      </w:r>
      <w:r w:rsidRPr="00392216">
        <w:t>suivantes</w:t>
      </w:r>
      <w:r w:rsidR="009E2AF4" w:rsidRPr="00392216">
        <w:t> </w:t>
      </w:r>
      <w:r w:rsidR="00037F64" w:rsidRPr="00392216">
        <w:t>:</w:t>
      </w:r>
    </w:p>
    <w:p w:rsidR="00EC53E2" w:rsidRPr="00392216" w:rsidRDefault="00EC53E2" w:rsidP="00350639"/>
    <w:p w:rsidR="00775D38" w:rsidRPr="0051744F" w:rsidRDefault="0051744F" w:rsidP="00350639">
      <w:r w:rsidRPr="00392216">
        <w:t>Le m</w:t>
      </w:r>
      <w:r w:rsidR="00037F64" w:rsidRPr="00392216">
        <w:t>inistère des Services sociaux et communautaires:</w:t>
      </w:r>
    </w:p>
    <w:p w:rsidR="00775D38" w:rsidRPr="00392216" w:rsidRDefault="00775D38" w:rsidP="00350639"/>
    <w:p w:rsidR="00717C06" w:rsidRPr="00392216" w:rsidRDefault="00717C06" w:rsidP="00350639">
      <w:pPr>
        <w:pStyle w:val="ListParagraph"/>
        <w:numPr>
          <w:ilvl w:val="0"/>
          <w:numId w:val="30"/>
        </w:numPr>
      </w:pPr>
      <w:r w:rsidRPr="00392216">
        <w:t>Soutien de l</w:t>
      </w:r>
      <w:r w:rsidR="00274921">
        <w:t>’</w:t>
      </w:r>
      <w:r w:rsidRPr="00392216">
        <w:t>emploi</w:t>
      </w:r>
    </w:p>
    <w:p w:rsidR="00717C06" w:rsidRPr="00392216" w:rsidRDefault="00717C06" w:rsidP="00350639">
      <w:pPr>
        <w:pStyle w:val="ListParagraph"/>
        <w:numPr>
          <w:ilvl w:val="0"/>
          <w:numId w:val="30"/>
        </w:numPr>
      </w:pPr>
      <w:r w:rsidRPr="00392216">
        <w:t>Renforcement des obligations familiales</w:t>
      </w:r>
    </w:p>
    <w:p w:rsidR="00717C06" w:rsidRPr="00392216" w:rsidRDefault="00717C06" w:rsidP="00350639">
      <w:pPr>
        <w:pStyle w:val="ListParagraph"/>
        <w:numPr>
          <w:ilvl w:val="0"/>
          <w:numId w:val="30"/>
        </w:numPr>
      </w:pPr>
      <w:r w:rsidRPr="00392216">
        <w:t>Prestation de services pour les personnes ayant une déficience intellectuelle</w:t>
      </w:r>
    </w:p>
    <w:p w:rsidR="00717C06" w:rsidRPr="00392216" w:rsidRDefault="00717C06" w:rsidP="00350639">
      <w:pPr>
        <w:pStyle w:val="ListParagraph"/>
        <w:numPr>
          <w:ilvl w:val="0"/>
          <w:numId w:val="30"/>
        </w:numPr>
      </w:pPr>
      <w:r w:rsidRPr="00392216">
        <w:t>Soutien aux victimes de violence conjugale</w:t>
      </w:r>
    </w:p>
    <w:p w:rsidR="00717C06" w:rsidRPr="00392216" w:rsidRDefault="00717C06" w:rsidP="00350639">
      <w:pPr>
        <w:pStyle w:val="ListParagraph"/>
        <w:numPr>
          <w:ilvl w:val="0"/>
          <w:numId w:val="30"/>
        </w:numPr>
      </w:pPr>
      <w:r w:rsidRPr="00392216">
        <w:t>Accessibilité pour les personnes handicapées de l’Ontario</w:t>
      </w:r>
    </w:p>
    <w:p w:rsidR="00717C06" w:rsidRPr="00392216" w:rsidRDefault="00717C06" w:rsidP="00350639">
      <w:pPr>
        <w:pStyle w:val="ListParagraph"/>
        <w:numPr>
          <w:ilvl w:val="0"/>
          <w:numId w:val="30"/>
        </w:numPr>
      </w:pPr>
      <w:r w:rsidRPr="00392216">
        <w:t>Prestation de services communautaires aux adultes</w:t>
      </w:r>
    </w:p>
    <w:p w:rsidR="00775D38" w:rsidRPr="00392216" w:rsidRDefault="00717C06" w:rsidP="00350639">
      <w:pPr>
        <w:pStyle w:val="ListParagraph"/>
        <w:numPr>
          <w:ilvl w:val="0"/>
          <w:numId w:val="30"/>
        </w:numPr>
      </w:pPr>
      <w:r w:rsidRPr="00392216">
        <w:t>Soutien du revenu</w:t>
      </w:r>
    </w:p>
    <w:p w:rsidR="00775D38" w:rsidRPr="00392216" w:rsidRDefault="00775D38" w:rsidP="00350639"/>
    <w:p w:rsidR="00775D38" w:rsidRPr="00392216" w:rsidRDefault="0051744F" w:rsidP="00350639">
      <w:r w:rsidRPr="00392216">
        <w:t>Le m</w:t>
      </w:r>
      <w:r w:rsidR="00037F64" w:rsidRPr="00392216">
        <w:t>inistère de</w:t>
      </w:r>
      <w:r w:rsidR="00717C06" w:rsidRPr="00392216">
        <w:t>s Services à l</w:t>
      </w:r>
      <w:r w:rsidR="00274921">
        <w:t>’</w:t>
      </w:r>
      <w:r w:rsidR="00037F64" w:rsidRPr="00392216">
        <w:t>enfance et à la jeunesse</w:t>
      </w:r>
      <w:r w:rsidR="00717C06" w:rsidRPr="00392216">
        <w:t> </w:t>
      </w:r>
      <w:r w:rsidR="00037F64" w:rsidRPr="00392216">
        <w:t>:</w:t>
      </w:r>
    </w:p>
    <w:p w:rsidR="00775D38" w:rsidRPr="00392216" w:rsidRDefault="00775D38" w:rsidP="00350639"/>
    <w:p w:rsidR="00717C06" w:rsidRPr="00392216" w:rsidRDefault="00717C06" w:rsidP="00350639">
      <w:pPr>
        <w:pStyle w:val="ListParagraph"/>
        <w:numPr>
          <w:ilvl w:val="0"/>
          <w:numId w:val="31"/>
        </w:numPr>
      </w:pPr>
      <w:r w:rsidRPr="00392216">
        <w:t>R</w:t>
      </w:r>
      <w:r w:rsidR="00274921">
        <w:t>é</w:t>
      </w:r>
      <w:r w:rsidRPr="00392216">
        <w:t>glementation sur les adoptions</w:t>
      </w:r>
    </w:p>
    <w:p w:rsidR="00717C06" w:rsidRPr="00392216" w:rsidRDefault="00717C06" w:rsidP="00350639">
      <w:pPr>
        <w:pStyle w:val="ListParagraph"/>
        <w:numPr>
          <w:ilvl w:val="0"/>
          <w:numId w:val="31"/>
        </w:numPr>
      </w:pPr>
      <w:r w:rsidRPr="00392216">
        <w:t>Bien-être, protection et réadaptation de l’enfant</w:t>
      </w:r>
    </w:p>
    <w:p w:rsidR="00717C06" w:rsidRPr="00392216" w:rsidRDefault="00717C06" w:rsidP="00350639">
      <w:pPr>
        <w:pStyle w:val="ListParagraph"/>
        <w:numPr>
          <w:ilvl w:val="0"/>
          <w:numId w:val="31"/>
        </w:numPr>
      </w:pPr>
      <w:r w:rsidRPr="00392216">
        <w:t>Services de garde et services à la petite enfance</w:t>
      </w:r>
    </w:p>
    <w:p w:rsidR="00717C06" w:rsidRPr="00392216" w:rsidRDefault="00717C06" w:rsidP="00350639">
      <w:pPr>
        <w:pStyle w:val="ListParagraph"/>
        <w:numPr>
          <w:ilvl w:val="0"/>
          <w:numId w:val="31"/>
        </w:numPr>
      </w:pPr>
      <w:r w:rsidRPr="00392216">
        <w:t>Services de justice pour la jeunesse</w:t>
      </w:r>
    </w:p>
    <w:p w:rsidR="00717C06" w:rsidRPr="00392216" w:rsidRDefault="00717C06" w:rsidP="00350639">
      <w:pPr>
        <w:pStyle w:val="ListParagraph"/>
        <w:numPr>
          <w:ilvl w:val="0"/>
          <w:numId w:val="31"/>
        </w:numPr>
      </w:pPr>
      <w:r w:rsidRPr="00392216">
        <w:t>Politique et services intégrés pour les enfants</w:t>
      </w:r>
    </w:p>
    <w:p w:rsidR="007A470B" w:rsidRPr="00037F64" w:rsidRDefault="007A470B" w:rsidP="00350639"/>
    <w:p w:rsidR="00717C06" w:rsidRDefault="00717C06" w:rsidP="00350639"/>
    <w:p w:rsidR="00717C06" w:rsidRDefault="00717C06" w:rsidP="00350639">
      <w:r>
        <w:br w:type="page"/>
      </w:r>
    </w:p>
    <w:p w:rsidR="002E0EAA" w:rsidRPr="00037F64" w:rsidRDefault="002E0EAA" w:rsidP="00350639"/>
    <w:p w:rsidR="002E0EAA" w:rsidRPr="00037F64" w:rsidRDefault="002E0EAA" w:rsidP="00350639"/>
    <w:p w:rsidR="007A470B" w:rsidRPr="00CC6168" w:rsidRDefault="00CC6168" w:rsidP="008756C1">
      <w:pPr>
        <w:pStyle w:val="Heading1"/>
      </w:pPr>
      <w:bookmarkStart w:id="11" w:name="_Toc469910381"/>
      <w:r w:rsidRPr="00392216">
        <w:t>Annexe A</w:t>
      </w:r>
      <w:r w:rsidR="00274921">
        <w:t> </w:t>
      </w:r>
      <w:r w:rsidRPr="00392216">
        <w:t>: Analyse de</w:t>
      </w:r>
      <w:bookmarkStart w:id="12" w:name="_GoBack"/>
      <w:bookmarkEnd w:id="12"/>
      <w:r w:rsidRPr="00392216">
        <w:t>s sous-secteurs</w:t>
      </w:r>
      <w:r w:rsidR="007A470B" w:rsidRPr="00392216">
        <w:t xml:space="preserve"> </w:t>
      </w:r>
      <w:r w:rsidR="00532F89" w:rsidRPr="00392216">
        <w:t>des services communautaires</w:t>
      </w:r>
      <w:bookmarkEnd w:id="11"/>
    </w:p>
    <w:p w:rsidR="001C4E13" w:rsidRPr="00CC6168" w:rsidRDefault="001C4E13" w:rsidP="00350639"/>
    <w:p w:rsidR="001C4E13" w:rsidRPr="00CC6168" w:rsidRDefault="001C4E13" w:rsidP="00350639">
      <w:pPr>
        <w:sectPr w:rsidR="001C4E13" w:rsidRPr="00CC6168" w:rsidSect="005B14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57"/>
        <w:gridCol w:w="2071"/>
        <w:gridCol w:w="1937"/>
        <w:gridCol w:w="2385"/>
        <w:gridCol w:w="2075"/>
        <w:gridCol w:w="2100"/>
      </w:tblGrid>
      <w:tr w:rsidR="00516D3C" w:rsidRPr="00350639" w:rsidTr="00FF1DBB">
        <w:trPr>
          <w:cantSplit/>
          <w:tblHeader/>
        </w:trPr>
        <w:tc>
          <w:tcPr>
            <w:tcW w:w="1695" w:type="dxa"/>
            <w:shd w:val="clear" w:color="auto" w:fill="auto"/>
          </w:tcPr>
          <w:p w:rsidR="00FF1DBB" w:rsidRPr="006C41D3" w:rsidRDefault="00FF1DBB" w:rsidP="00350639">
            <w:pPr>
              <w:rPr>
                <w:b/>
              </w:rPr>
            </w:pPr>
            <w:r w:rsidRPr="006C41D3">
              <w:rPr>
                <w:b/>
              </w:rPr>
              <w:lastRenderedPageBreak/>
              <w:t>Sous-secteur</w:t>
            </w:r>
          </w:p>
        </w:tc>
        <w:tc>
          <w:tcPr>
            <w:tcW w:w="1959" w:type="dxa"/>
            <w:shd w:val="clear" w:color="auto" w:fill="auto"/>
          </w:tcPr>
          <w:p w:rsidR="00FF1DBB" w:rsidRPr="006C41D3" w:rsidRDefault="00FF1DBB" w:rsidP="00350639">
            <w:pPr>
              <w:rPr>
                <w:b/>
              </w:rPr>
            </w:pPr>
            <w:r w:rsidRPr="006C41D3">
              <w:rPr>
                <w:b/>
              </w:rPr>
              <w:t>Description du sous-secteur</w:t>
            </w:r>
          </w:p>
        </w:tc>
        <w:tc>
          <w:tcPr>
            <w:tcW w:w="1762" w:type="dxa"/>
            <w:shd w:val="clear" w:color="auto" w:fill="auto"/>
          </w:tcPr>
          <w:p w:rsidR="00FF1DBB" w:rsidRPr="006C41D3" w:rsidRDefault="00FF1DBB" w:rsidP="00350639">
            <w:pPr>
              <w:rPr>
                <w:b/>
              </w:rPr>
            </w:pPr>
            <w:r w:rsidRPr="006C41D3">
              <w:rPr>
                <w:b/>
              </w:rPr>
              <w:t>Fonction connexe du gouvernement et ministère de l’Ontario responsable</w:t>
            </w:r>
          </w:p>
        </w:tc>
        <w:tc>
          <w:tcPr>
            <w:tcW w:w="2123" w:type="dxa"/>
            <w:shd w:val="clear" w:color="auto" w:fill="auto"/>
          </w:tcPr>
          <w:p w:rsidR="00FF1DBB" w:rsidRPr="006C41D3" w:rsidRDefault="00FF1DBB" w:rsidP="00350639">
            <w:pPr>
              <w:rPr>
                <w:b/>
              </w:rPr>
            </w:pPr>
            <w:r w:rsidRPr="006C41D3">
              <w:rPr>
                <w:b/>
              </w:rPr>
              <w:t>Collections privées connexes des Archives publiques de l’Ontario (contenant des documents pour la période ultérieure à 1980)</w:t>
            </w:r>
          </w:p>
        </w:tc>
        <w:tc>
          <w:tcPr>
            <w:tcW w:w="2544" w:type="dxa"/>
            <w:shd w:val="clear" w:color="auto" w:fill="auto"/>
          </w:tcPr>
          <w:p w:rsidR="00FF1DBB" w:rsidRPr="006C41D3" w:rsidRDefault="00FF1DBB" w:rsidP="00350639">
            <w:pPr>
              <w:rPr>
                <w:b/>
              </w:rPr>
            </w:pPr>
            <w:r w:rsidRPr="006C41D3">
              <w:rPr>
                <w:b/>
              </w:rPr>
              <w:t>Justification raisonnée des sous-secteurs</w:t>
            </w:r>
          </w:p>
        </w:tc>
        <w:tc>
          <w:tcPr>
            <w:tcW w:w="2129" w:type="dxa"/>
            <w:shd w:val="clear" w:color="auto" w:fill="auto"/>
          </w:tcPr>
          <w:p w:rsidR="00FF1DBB" w:rsidRPr="006C41D3" w:rsidRDefault="00FF1DBB" w:rsidP="00350639">
            <w:pPr>
              <w:rPr>
                <w:b/>
              </w:rPr>
            </w:pPr>
            <w:proofErr w:type="spellStart"/>
            <w:r w:rsidRPr="006C41D3">
              <w:rPr>
                <w:b/>
              </w:rPr>
              <w:t>Consid</w:t>
            </w:r>
            <w:r w:rsidR="00274921" w:rsidRPr="006C41D3">
              <w:rPr>
                <w:b/>
              </w:rPr>
              <w:t>é</w:t>
            </w:r>
            <w:r w:rsidRPr="006C41D3">
              <w:rPr>
                <w:b/>
              </w:rPr>
              <w:t>rations</w:t>
            </w:r>
            <w:proofErr w:type="spellEnd"/>
            <w:r w:rsidRPr="006C41D3">
              <w:rPr>
                <w:b/>
              </w:rPr>
              <w:t xml:space="preserve"> relatives aux acquisitions</w:t>
            </w:r>
          </w:p>
        </w:tc>
        <w:tc>
          <w:tcPr>
            <w:tcW w:w="2404" w:type="dxa"/>
            <w:shd w:val="clear" w:color="auto" w:fill="auto"/>
          </w:tcPr>
          <w:p w:rsidR="00FF1DBB" w:rsidRPr="00392216" w:rsidRDefault="00FF1DBB" w:rsidP="00350639">
            <w:pPr>
              <w:rPr>
                <w:b/>
                <w:bCs/>
              </w:rPr>
            </w:pPr>
            <w:r w:rsidRPr="00392216">
              <w:rPr>
                <w:b/>
                <w:bCs/>
              </w:rPr>
              <w:t>Priorité </w:t>
            </w:r>
            <w:proofErr w:type="gramStart"/>
            <w:r w:rsidRPr="00392216">
              <w:rPr>
                <w:b/>
                <w:bCs/>
              </w:rPr>
              <w:t>:</w:t>
            </w:r>
            <w:proofErr w:type="gramEnd"/>
            <w:r w:rsidRPr="00392216">
              <w:rPr>
                <w:b/>
                <w:bCs/>
              </w:rPr>
              <w:br/>
              <w:t>Élevée</w:t>
            </w:r>
            <w:r w:rsidRPr="00392216">
              <w:t xml:space="preserve"> (les APO ont très peu de documents, voire aucun) </w:t>
            </w:r>
            <w:r w:rsidRPr="00392216">
              <w:br/>
            </w:r>
            <w:r w:rsidRPr="00392216">
              <w:rPr>
                <w:b/>
                <w:bCs/>
              </w:rPr>
              <w:t xml:space="preserve">Moyenne </w:t>
            </w:r>
            <w:r w:rsidRPr="00392216">
              <w:t xml:space="preserve">(les APO ont un peu de documents) </w:t>
            </w:r>
            <w:r w:rsidRPr="00392216">
              <w:br/>
            </w:r>
            <w:r w:rsidRPr="00392216">
              <w:rPr>
                <w:b/>
                <w:bCs/>
              </w:rPr>
              <w:t xml:space="preserve">Faible </w:t>
            </w:r>
            <w:r w:rsidRPr="00392216">
              <w:t>(les APO ont beaucoup de documents)</w:t>
            </w:r>
          </w:p>
        </w:tc>
      </w:tr>
      <w:tr w:rsidR="00516D3C" w:rsidRPr="001155ED" w:rsidTr="00FF1DBB">
        <w:trPr>
          <w:cantSplit/>
        </w:trPr>
        <w:tc>
          <w:tcPr>
            <w:tcW w:w="1695" w:type="dxa"/>
            <w:shd w:val="clear" w:color="auto" w:fill="auto"/>
          </w:tcPr>
          <w:p w:rsidR="00CC6168" w:rsidRPr="00392216" w:rsidRDefault="00717C06" w:rsidP="00350639">
            <w:r w:rsidRPr="00392216">
              <w:t>Organismes de soutien aux services communautaires</w:t>
            </w:r>
          </w:p>
        </w:tc>
        <w:tc>
          <w:tcPr>
            <w:tcW w:w="1959" w:type="dxa"/>
            <w:shd w:val="clear" w:color="auto" w:fill="auto"/>
          </w:tcPr>
          <w:p w:rsidR="00CC6168" w:rsidRPr="00392216" w:rsidRDefault="00CC6168" w:rsidP="00350639">
            <w:r w:rsidRPr="00392216">
              <w:t xml:space="preserve">Ce sous-secteur comprend des </w:t>
            </w:r>
            <w:r w:rsidR="00392216">
              <w:t>organismes</w:t>
            </w:r>
            <w:r w:rsidRPr="00392216">
              <w:t xml:space="preserve"> qui fournissent des services de soutien </w:t>
            </w:r>
            <w:r w:rsidR="007E5053" w:rsidRPr="00392216">
              <w:t>à</w:t>
            </w:r>
            <w:r w:rsidRPr="00392216">
              <w:t xml:space="preserve"> diverses communautés dans le besoin partout dans la province.</w:t>
            </w:r>
          </w:p>
        </w:tc>
        <w:tc>
          <w:tcPr>
            <w:tcW w:w="1762" w:type="dxa"/>
            <w:shd w:val="clear" w:color="auto" w:fill="auto"/>
          </w:tcPr>
          <w:p w:rsidR="00CC6168" w:rsidRPr="00392216" w:rsidRDefault="00717C06" w:rsidP="00350639">
            <w:r w:rsidRPr="00392216">
              <w:t>P</w:t>
            </w:r>
            <w:r w:rsidR="00CC6168" w:rsidRPr="00392216">
              <w:t xml:space="preserve">restation de services communautaires </w:t>
            </w:r>
            <w:r w:rsidRPr="00392216">
              <w:t xml:space="preserve">aux </w:t>
            </w:r>
            <w:r w:rsidR="00CC6168" w:rsidRPr="00392216">
              <w:t>adultes (ministère des Services sociaux et communautaires)</w:t>
            </w:r>
          </w:p>
          <w:p w:rsidR="00CC6168" w:rsidRPr="00392216" w:rsidRDefault="00CC6168" w:rsidP="00350639"/>
          <w:p w:rsidR="00CC6168" w:rsidRPr="00392216" w:rsidRDefault="00717C06" w:rsidP="00350639">
            <w:r w:rsidRPr="00392216">
              <w:t xml:space="preserve">Soutien </w:t>
            </w:r>
            <w:r w:rsidR="00CC6168" w:rsidRPr="00392216">
              <w:t>aux victimes de violence conjugale (ministère des Services sociaux et communautaires)</w:t>
            </w:r>
          </w:p>
          <w:p w:rsidR="00CC6168" w:rsidRPr="00392216" w:rsidRDefault="00CC6168" w:rsidP="00350639"/>
          <w:p w:rsidR="00CC6168" w:rsidRPr="00392216" w:rsidRDefault="00717C06" w:rsidP="00350639">
            <w:r w:rsidRPr="00392216">
              <w:t>S</w:t>
            </w:r>
            <w:r w:rsidR="00CC6168" w:rsidRPr="00392216">
              <w:t xml:space="preserve">outien </w:t>
            </w:r>
            <w:r w:rsidRPr="00392216">
              <w:t>de l’emploi</w:t>
            </w:r>
            <w:r w:rsidR="00CC6168" w:rsidRPr="00392216">
              <w:t xml:space="preserve"> (</w:t>
            </w:r>
            <w:r w:rsidR="00274921">
              <w:t>m</w:t>
            </w:r>
            <w:r w:rsidR="00CC6168" w:rsidRPr="00392216">
              <w:t>inistère des Services sociaux et communautaires)</w:t>
            </w:r>
          </w:p>
        </w:tc>
        <w:tc>
          <w:tcPr>
            <w:tcW w:w="2123" w:type="dxa"/>
            <w:shd w:val="clear" w:color="auto" w:fill="auto"/>
          </w:tcPr>
          <w:p w:rsidR="00CC6168" w:rsidRPr="00392216" w:rsidRDefault="00CC6168" w:rsidP="00350639">
            <w:r w:rsidRPr="00392216">
              <w:t xml:space="preserve">F 4571 Fonds </w:t>
            </w:r>
            <w:proofErr w:type="spellStart"/>
            <w:r w:rsidRPr="00392216">
              <w:t>Easter</w:t>
            </w:r>
            <w:proofErr w:type="spellEnd"/>
            <w:r w:rsidRPr="00392216">
              <w:t xml:space="preserve"> </w:t>
            </w:r>
            <w:proofErr w:type="spellStart"/>
            <w:r w:rsidRPr="00392216">
              <w:t>Seals</w:t>
            </w:r>
            <w:proofErr w:type="spellEnd"/>
            <w:r w:rsidRPr="00392216">
              <w:t xml:space="preserve"> Ontario</w:t>
            </w:r>
          </w:p>
          <w:p w:rsidR="00CC6168" w:rsidRPr="00392216" w:rsidRDefault="00CC6168" w:rsidP="00350639"/>
          <w:p w:rsidR="00CC6168" w:rsidRPr="00392216" w:rsidRDefault="00274921" w:rsidP="00350639">
            <w:r>
              <w:t>2117 F</w:t>
            </w:r>
            <w:r w:rsidR="00CC6168" w:rsidRPr="00392216">
              <w:t xml:space="preserve"> Fonds COSTI – IIAS Immigrant Services</w:t>
            </w:r>
          </w:p>
          <w:p w:rsidR="00CC6168" w:rsidRPr="00392216" w:rsidRDefault="00CC6168" w:rsidP="00350639"/>
          <w:p w:rsidR="00CC6168" w:rsidRPr="00392216" w:rsidRDefault="00CC6168" w:rsidP="00350639">
            <w:r w:rsidRPr="00392216">
              <w:t xml:space="preserve">F 4644 Fonds </w:t>
            </w:r>
            <w:proofErr w:type="spellStart"/>
            <w:r w:rsidRPr="00392216">
              <w:t>Russian</w:t>
            </w:r>
            <w:proofErr w:type="spellEnd"/>
            <w:r w:rsidRPr="00392216">
              <w:t xml:space="preserve"> </w:t>
            </w:r>
            <w:proofErr w:type="spellStart"/>
            <w:r w:rsidRPr="00392216">
              <w:t>Orthodox</w:t>
            </w:r>
            <w:proofErr w:type="spellEnd"/>
            <w:r w:rsidRPr="00392216">
              <w:t xml:space="preserve"> Immigrant Services of Canada</w:t>
            </w:r>
          </w:p>
        </w:tc>
        <w:tc>
          <w:tcPr>
            <w:tcW w:w="2544" w:type="dxa"/>
            <w:shd w:val="clear" w:color="auto" w:fill="auto"/>
          </w:tcPr>
          <w:p w:rsidR="00CC6168" w:rsidRPr="00392216" w:rsidRDefault="00CC6168" w:rsidP="00350639">
            <w:r w:rsidRPr="00392216">
              <w:t xml:space="preserve">Ce sous-secteur permettrait de documenter les </w:t>
            </w:r>
            <w:r w:rsidR="00392216">
              <w:t>organismes</w:t>
            </w:r>
            <w:r w:rsidRPr="00392216">
              <w:t xml:space="preserve"> </w:t>
            </w:r>
            <w:r w:rsidR="007E5053" w:rsidRPr="00392216">
              <w:t>dont certains aspects des services communautaires sont offerts à l’échelle provinciale</w:t>
            </w:r>
            <w:r w:rsidRPr="00392216">
              <w:t>.</w:t>
            </w:r>
          </w:p>
        </w:tc>
        <w:tc>
          <w:tcPr>
            <w:tcW w:w="2129" w:type="dxa"/>
            <w:shd w:val="clear" w:color="auto" w:fill="auto"/>
          </w:tcPr>
          <w:p w:rsidR="00CC6168" w:rsidRPr="00392216" w:rsidRDefault="007D19CE" w:rsidP="00350639">
            <w:r w:rsidRPr="00392216">
              <w:t>Les collections des Archives publiques de l’Ontario pour ce sous-secteur sont limitées pour la période ultérieure à 1980.</w:t>
            </w:r>
          </w:p>
        </w:tc>
        <w:tc>
          <w:tcPr>
            <w:tcW w:w="2404" w:type="dxa"/>
            <w:shd w:val="clear" w:color="auto" w:fill="auto"/>
          </w:tcPr>
          <w:p w:rsidR="00CC6168" w:rsidRPr="00392216" w:rsidRDefault="00CC6168" w:rsidP="00350639">
            <w:r w:rsidRPr="00392216">
              <w:t>PRIORITÉ MOYENNE</w:t>
            </w:r>
          </w:p>
        </w:tc>
      </w:tr>
      <w:tr w:rsidR="00516D3C" w:rsidRPr="001155ED" w:rsidTr="00FF1DBB">
        <w:trPr>
          <w:cantSplit/>
        </w:trPr>
        <w:tc>
          <w:tcPr>
            <w:tcW w:w="1695" w:type="dxa"/>
            <w:shd w:val="clear" w:color="auto" w:fill="auto"/>
          </w:tcPr>
          <w:p w:rsidR="00FD61D1" w:rsidRPr="00392216" w:rsidRDefault="00717C06" w:rsidP="00350639">
            <w:r w:rsidRPr="00392216">
              <w:lastRenderedPageBreak/>
              <w:t>Associations professionnelles</w:t>
            </w:r>
          </w:p>
        </w:tc>
        <w:tc>
          <w:tcPr>
            <w:tcW w:w="1959" w:type="dxa"/>
            <w:shd w:val="clear" w:color="auto" w:fill="auto"/>
          </w:tcPr>
          <w:p w:rsidR="00FD61D1" w:rsidRPr="00392216" w:rsidRDefault="00542D02" w:rsidP="00350639">
            <w:r w:rsidRPr="00392216">
              <w:t xml:space="preserve">Ce sous-secteur comprend les associations de professionnels travaillant </w:t>
            </w:r>
            <w:r w:rsidR="00A3561A" w:rsidRPr="00392216">
              <w:t xml:space="preserve">dans les domaines de la </w:t>
            </w:r>
            <w:r w:rsidR="00516D3C" w:rsidRPr="00392216">
              <w:t>prestation</w:t>
            </w:r>
            <w:r w:rsidR="00A3561A" w:rsidRPr="00392216">
              <w:t xml:space="preserve"> et </w:t>
            </w:r>
            <w:r w:rsidR="00516D3C" w:rsidRPr="00392216">
              <w:t xml:space="preserve">de </w:t>
            </w:r>
            <w:r w:rsidR="00A3561A" w:rsidRPr="00392216">
              <w:t>la promotion des services communautaires.</w:t>
            </w:r>
          </w:p>
        </w:tc>
        <w:tc>
          <w:tcPr>
            <w:tcW w:w="1762" w:type="dxa"/>
            <w:shd w:val="clear" w:color="auto" w:fill="auto"/>
          </w:tcPr>
          <w:p w:rsidR="00E44B66" w:rsidRPr="00392216" w:rsidRDefault="00717C06" w:rsidP="00350639">
            <w:r w:rsidRPr="00392216">
              <w:t xml:space="preserve">Prestation de </w:t>
            </w:r>
            <w:r w:rsidR="00E44B66" w:rsidRPr="00392216">
              <w:t xml:space="preserve">services communautaires </w:t>
            </w:r>
            <w:r w:rsidR="009A683A" w:rsidRPr="00392216">
              <w:t xml:space="preserve">aux adultes </w:t>
            </w:r>
            <w:r w:rsidR="00E44B66" w:rsidRPr="00392216">
              <w:t>(ministère des Services sociaux et communautaires)</w:t>
            </w:r>
          </w:p>
          <w:p w:rsidR="00A74CED" w:rsidRPr="00392216" w:rsidRDefault="00A74CED" w:rsidP="00350639"/>
          <w:p w:rsidR="00A3561A" w:rsidRPr="00392216" w:rsidRDefault="00516D3C" w:rsidP="00350639">
            <w:r w:rsidRPr="00392216">
              <w:t>R</w:t>
            </w:r>
            <w:r w:rsidR="009A683A" w:rsidRPr="00392216">
              <w:t xml:space="preserve">enforcement des </w:t>
            </w:r>
            <w:r w:rsidRPr="00392216">
              <w:t>obligations familiales</w:t>
            </w:r>
            <w:r w:rsidR="009A683A" w:rsidRPr="00392216">
              <w:t xml:space="preserve"> </w:t>
            </w:r>
            <w:r w:rsidR="007E5053" w:rsidRPr="00392216">
              <w:t>(ministère des Services sociaux et communautaires)</w:t>
            </w:r>
          </w:p>
        </w:tc>
        <w:tc>
          <w:tcPr>
            <w:tcW w:w="2123" w:type="dxa"/>
            <w:shd w:val="clear" w:color="auto" w:fill="auto"/>
          </w:tcPr>
          <w:p w:rsidR="00FD61D1" w:rsidRPr="00392216" w:rsidRDefault="00274921" w:rsidP="00350639">
            <w:r>
              <w:t>4175 F</w:t>
            </w:r>
            <w:r w:rsidR="00743B30" w:rsidRPr="00392216">
              <w:t xml:space="preserve"> </w:t>
            </w:r>
            <w:r w:rsidR="00F2371D" w:rsidRPr="00392216">
              <w:t>Fond</w:t>
            </w:r>
            <w:r w:rsidR="00FF1DBB" w:rsidRPr="00392216">
              <w:t xml:space="preserve">s de </w:t>
            </w:r>
            <w:r w:rsidR="00392216">
              <w:t>l’</w:t>
            </w:r>
            <w:r w:rsidR="00FF1DBB" w:rsidRPr="00392216">
              <w:t xml:space="preserve">Association des travailleuses et travailleurs </w:t>
            </w:r>
            <w:r w:rsidR="00F2371D" w:rsidRPr="00392216">
              <w:t>sociaux de l</w:t>
            </w:r>
            <w:r>
              <w:t>’</w:t>
            </w:r>
            <w:r w:rsidR="00F2371D" w:rsidRPr="00392216">
              <w:t>Ontario</w:t>
            </w:r>
          </w:p>
        </w:tc>
        <w:tc>
          <w:tcPr>
            <w:tcW w:w="2544" w:type="dxa"/>
            <w:shd w:val="clear" w:color="auto" w:fill="auto"/>
          </w:tcPr>
          <w:p w:rsidR="00FD61D1" w:rsidRPr="00392216" w:rsidRDefault="00542D02" w:rsidP="00350639">
            <w:r w:rsidRPr="00392216">
              <w:t xml:space="preserve">Ce sous-secteur permettrait de documenter les associations qui représentent les intérêts des professionnels </w:t>
            </w:r>
            <w:r w:rsidR="00516D3C" w:rsidRPr="00392216">
              <w:t xml:space="preserve">offrant des </w:t>
            </w:r>
            <w:r w:rsidR="00A3561A" w:rsidRPr="00392216">
              <w:t xml:space="preserve">services communautaires et de fournir un soutien professionnel aux praticiens </w:t>
            </w:r>
            <w:r w:rsidR="00516D3C" w:rsidRPr="00392216">
              <w:t>offrant</w:t>
            </w:r>
            <w:r w:rsidR="00F2371D" w:rsidRPr="00392216">
              <w:t xml:space="preserve"> des </w:t>
            </w:r>
            <w:r w:rsidR="00A3561A" w:rsidRPr="00392216">
              <w:t>service</w:t>
            </w:r>
            <w:r w:rsidR="00F2371D" w:rsidRPr="00392216">
              <w:t>s</w:t>
            </w:r>
            <w:r w:rsidR="00A3561A" w:rsidRPr="00392216">
              <w:t xml:space="preserve"> communautaire</w:t>
            </w:r>
            <w:r w:rsidR="00F2371D" w:rsidRPr="00392216">
              <w:t>s</w:t>
            </w:r>
            <w:r w:rsidR="00A3561A" w:rsidRPr="00392216">
              <w:t>.</w:t>
            </w:r>
          </w:p>
        </w:tc>
        <w:tc>
          <w:tcPr>
            <w:tcW w:w="2129" w:type="dxa"/>
            <w:shd w:val="clear" w:color="auto" w:fill="auto"/>
          </w:tcPr>
          <w:p w:rsidR="00FD61D1" w:rsidRPr="00392216" w:rsidRDefault="007D19CE" w:rsidP="00350639">
            <w:r w:rsidRPr="00392216">
              <w:t>Les Archives publiques de l’Ontario ont un</w:t>
            </w:r>
            <w:r w:rsidR="00FF17B5" w:rsidRPr="00392216">
              <w:t xml:space="preserve">e </w:t>
            </w:r>
            <w:r w:rsidR="00392216">
              <w:t xml:space="preserve">seule </w:t>
            </w:r>
            <w:r w:rsidR="00FF17B5" w:rsidRPr="00392216">
              <w:t>collection</w:t>
            </w:r>
            <w:r w:rsidRPr="00392216">
              <w:t xml:space="preserve"> lié</w:t>
            </w:r>
            <w:r w:rsidR="00FF17B5" w:rsidRPr="00392216">
              <w:t>e</w:t>
            </w:r>
            <w:r w:rsidRPr="00392216">
              <w:t xml:space="preserve"> à ce sous-secteur pour la période ultérieure à 1980</w:t>
            </w:r>
            <w:r w:rsidR="00743B30" w:rsidRPr="00392216">
              <w:t>.</w:t>
            </w:r>
          </w:p>
        </w:tc>
        <w:tc>
          <w:tcPr>
            <w:tcW w:w="2404" w:type="dxa"/>
            <w:shd w:val="clear" w:color="auto" w:fill="auto"/>
          </w:tcPr>
          <w:p w:rsidR="00FD61D1" w:rsidRPr="00392216" w:rsidRDefault="009E327E" w:rsidP="00350639">
            <w:r w:rsidRPr="00392216">
              <w:t>PRIORITÉ ÉLEVÉE</w:t>
            </w:r>
          </w:p>
        </w:tc>
      </w:tr>
      <w:tr w:rsidR="00516D3C" w:rsidRPr="001155ED" w:rsidTr="00FF1DBB">
        <w:trPr>
          <w:cantSplit/>
        </w:trPr>
        <w:tc>
          <w:tcPr>
            <w:tcW w:w="1695" w:type="dxa"/>
            <w:shd w:val="clear" w:color="auto" w:fill="auto"/>
          </w:tcPr>
          <w:p w:rsidR="00FD61D1" w:rsidRPr="00392216" w:rsidRDefault="00FF1DBB" w:rsidP="00350639">
            <w:r w:rsidRPr="00392216">
              <w:lastRenderedPageBreak/>
              <w:t>Organismes de pression</w:t>
            </w:r>
          </w:p>
        </w:tc>
        <w:tc>
          <w:tcPr>
            <w:tcW w:w="1959" w:type="dxa"/>
            <w:shd w:val="clear" w:color="auto" w:fill="auto"/>
          </w:tcPr>
          <w:p w:rsidR="00FD61D1" w:rsidRPr="00392216" w:rsidRDefault="00542D02" w:rsidP="00350639">
            <w:r w:rsidRPr="00392216">
              <w:t xml:space="preserve">Ce sous-secteur comprend les </w:t>
            </w:r>
            <w:r w:rsidR="00516D3C" w:rsidRPr="00392216">
              <w:t>organismes</w:t>
            </w:r>
            <w:r w:rsidRPr="00392216">
              <w:t xml:space="preserve"> dont le mandat est </w:t>
            </w:r>
            <w:r w:rsidR="004940A3" w:rsidRPr="00392216">
              <w:t>de</w:t>
            </w:r>
            <w:r w:rsidR="00516D3C" w:rsidRPr="00392216">
              <w:t xml:space="preserve"> faire pression, ainsi que de</w:t>
            </w:r>
            <w:r w:rsidR="00A3561A" w:rsidRPr="00392216">
              <w:t xml:space="preserve"> défendre</w:t>
            </w:r>
            <w:r w:rsidR="004940A3" w:rsidRPr="00392216">
              <w:t xml:space="preserve"> </w:t>
            </w:r>
            <w:r w:rsidR="00A3561A" w:rsidRPr="00392216">
              <w:t xml:space="preserve">et </w:t>
            </w:r>
            <w:r w:rsidR="004940A3" w:rsidRPr="00392216">
              <w:t xml:space="preserve">de </w:t>
            </w:r>
            <w:r w:rsidR="00A3561A" w:rsidRPr="00392216">
              <w:t xml:space="preserve">promouvoir </w:t>
            </w:r>
            <w:r w:rsidR="00516D3C" w:rsidRPr="00392216">
              <w:t>certains</w:t>
            </w:r>
            <w:r w:rsidR="00A3561A" w:rsidRPr="00392216">
              <w:t xml:space="preserve"> aspects des services communautaires </w:t>
            </w:r>
            <w:r w:rsidR="00516D3C" w:rsidRPr="00392216">
              <w:t>partout dans</w:t>
            </w:r>
            <w:r w:rsidR="00A3561A" w:rsidRPr="00392216">
              <w:t xml:space="preserve"> la province.</w:t>
            </w:r>
          </w:p>
        </w:tc>
        <w:tc>
          <w:tcPr>
            <w:tcW w:w="1762" w:type="dxa"/>
            <w:shd w:val="clear" w:color="auto" w:fill="auto"/>
          </w:tcPr>
          <w:p w:rsidR="00CA2EC0" w:rsidRPr="00392216" w:rsidRDefault="00516D3C" w:rsidP="00350639">
            <w:r w:rsidRPr="00392216">
              <w:t>R</w:t>
            </w:r>
            <w:r w:rsidR="00274921">
              <w:t>é</w:t>
            </w:r>
            <w:r w:rsidRPr="00392216">
              <w:t>glementation sur les adoptions</w:t>
            </w:r>
            <w:r w:rsidR="00587EC3" w:rsidRPr="00392216">
              <w:t xml:space="preserve"> </w:t>
            </w:r>
            <w:r w:rsidR="00A3561A" w:rsidRPr="00392216">
              <w:t>(</w:t>
            </w:r>
            <w:r w:rsidR="007E5053" w:rsidRPr="00392216">
              <w:t>m</w:t>
            </w:r>
            <w:r w:rsidR="00A3561A" w:rsidRPr="00392216">
              <w:t>inistère de</w:t>
            </w:r>
            <w:r w:rsidR="007E5053" w:rsidRPr="00392216">
              <w:t>s Services à</w:t>
            </w:r>
            <w:r w:rsidR="00A3561A" w:rsidRPr="00392216">
              <w:t xml:space="preserve"> l</w:t>
            </w:r>
            <w:r w:rsidR="00274921">
              <w:t>’</w:t>
            </w:r>
            <w:r w:rsidR="00A3561A" w:rsidRPr="00392216">
              <w:t>enfance et à la jeunesse)</w:t>
            </w:r>
          </w:p>
          <w:p w:rsidR="00CA2EC0" w:rsidRPr="00392216" w:rsidRDefault="00CA2EC0" w:rsidP="00350639"/>
          <w:p w:rsidR="00A3561A" w:rsidRPr="00392216" w:rsidRDefault="00516D3C" w:rsidP="00350639">
            <w:r w:rsidRPr="00392216">
              <w:t xml:space="preserve">Soutien aux victimes de violence conjugale </w:t>
            </w:r>
            <w:r w:rsidR="00A3561A" w:rsidRPr="00392216">
              <w:t>(ministère des Services sociaux et communautaires)</w:t>
            </w:r>
          </w:p>
          <w:p w:rsidR="00CA2EC0" w:rsidRPr="00392216" w:rsidRDefault="00CA2EC0" w:rsidP="00350639"/>
          <w:p w:rsidR="00A3561A" w:rsidRPr="00392216" w:rsidRDefault="00516D3C" w:rsidP="00350639">
            <w:r w:rsidRPr="00392216">
              <w:t>Renforcement des obligations familiales</w:t>
            </w:r>
            <w:r w:rsidR="00CA2EC0" w:rsidRPr="00392216">
              <w:t xml:space="preserve"> </w:t>
            </w:r>
          </w:p>
          <w:p w:rsidR="00CA2EC0" w:rsidRPr="00392216" w:rsidRDefault="00A3561A" w:rsidP="00350639">
            <w:r w:rsidRPr="00392216">
              <w:t>(</w:t>
            </w:r>
            <w:r w:rsidR="00274921">
              <w:t>m</w:t>
            </w:r>
            <w:r w:rsidRPr="00392216">
              <w:t>inistère des Services sociaux et communautaires)</w:t>
            </w:r>
          </w:p>
        </w:tc>
        <w:tc>
          <w:tcPr>
            <w:tcW w:w="2123" w:type="dxa"/>
            <w:shd w:val="clear" w:color="auto" w:fill="auto"/>
          </w:tcPr>
          <w:p w:rsidR="00F347F4" w:rsidRPr="00392216" w:rsidRDefault="00274921" w:rsidP="00350639">
            <w:r>
              <w:t>837 F</w:t>
            </w:r>
            <w:r w:rsidR="00F347F4" w:rsidRPr="00392216">
              <w:t xml:space="preserve"> </w:t>
            </w:r>
            <w:r w:rsidR="009A683A" w:rsidRPr="00392216">
              <w:t xml:space="preserve">Fonds du </w:t>
            </w:r>
            <w:r w:rsidR="00FF1DBB" w:rsidRPr="00392216">
              <w:t>Conseil du bien-être de l’Ontario</w:t>
            </w:r>
          </w:p>
          <w:p w:rsidR="00F347F4" w:rsidRPr="00392216" w:rsidRDefault="00F347F4" w:rsidP="00350639"/>
          <w:p w:rsidR="00FD61D1" w:rsidRPr="00392216" w:rsidRDefault="00274921" w:rsidP="00350639">
            <w:r>
              <w:t>4571 F</w:t>
            </w:r>
            <w:r w:rsidR="00FF1DBB" w:rsidRPr="00392216">
              <w:t xml:space="preserve"> </w:t>
            </w:r>
            <w:r w:rsidR="009A683A" w:rsidRPr="00392216">
              <w:t xml:space="preserve">Fonds </w:t>
            </w:r>
            <w:r w:rsidR="00FF1DBB" w:rsidRPr="00392216">
              <w:t>Timbres de Pâques Ontario</w:t>
            </w:r>
          </w:p>
        </w:tc>
        <w:tc>
          <w:tcPr>
            <w:tcW w:w="2544" w:type="dxa"/>
            <w:shd w:val="clear" w:color="auto" w:fill="auto"/>
          </w:tcPr>
          <w:p w:rsidR="00FD61D1" w:rsidRPr="00392216" w:rsidRDefault="00542D02" w:rsidP="00350639">
            <w:r w:rsidRPr="00392216">
              <w:t xml:space="preserve">Ce sous-secteur permettrait de documenter les </w:t>
            </w:r>
            <w:r w:rsidR="00516D3C" w:rsidRPr="00392216">
              <w:t>organismes</w:t>
            </w:r>
            <w:r w:rsidR="0021159C" w:rsidRPr="00392216">
              <w:t xml:space="preserve"> qui font pression et</w:t>
            </w:r>
            <w:r w:rsidRPr="00392216">
              <w:t xml:space="preserve"> qui </w:t>
            </w:r>
            <w:r w:rsidR="004940A3" w:rsidRPr="00392216">
              <w:t>défendent</w:t>
            </w:r>
            <w:r w:rsidRPr="00392216">
              <w:t xml:space="preserve"> </w:t>
            </w:r>
            <w:r w:rsidR="0021159C" w:rsidRPr="00392216">
              <w:t xml:space="preserve">les intérêts de </w:t>
            </w:r>
            <w:r w:rsidRPr="00392216">
              <w:t xml:space="preserve">ceux qui </w:t>
            </w:r>
            <w:r w:rsidR="0021159C" w:rsidRPr="00392216">
              <w:t>offrent ou qui reçoivent</w:t>
            </w:r>
            <w:r w:rsidR="00A3561A" w:rsidRPr="00392216">
              <w:t xml:space="preserve"> des services communautaires en Ontario.</w:t>
            </w:r>
          </w:p>
        </w:tc>
        <w:tc>
          <w:tcPr>
            <w:tcW w:w="2129" w:type="dxa"/>
            <w:shd w:val="clear" w:color="auto" w:fill="auto"/>
          </w:tcPr>
          <w:p w:rsidR="00FD61D1" w:rsidRPr="00392216" w:rsidRDefault="007D19CE" w:rsidP="00350639">
            <w:r w:rsidRPr="00392216">
              <w:t>Les collections des Archives publiques de l’Ontario pour ce sous-secteur sont limitées pour la période ultérieure à 1980.</w:t>
            </w:r>
          </w:p>
        </w:tc>
        <w:tc>
          <w:tcPr>
            <w:tcW w:w="2404" w:type="dxa"/>
            <w:shd w:val="clear" w:color="auto" w:fill="auto"/>
          </w:tcPr>
          <w:p w:rsidR="00FD61D1" w:rsidRPr="00392216" w:rsidRDefault="009E327E" w:rsidP="00350639">
            <w:r w:rsidRPr="00392216">
              <w:t>PRIORITÉ ÉLEVÉE</w:t>
            </w:r>
          </w:p>
        </w:tc>
      </w:tr>
      <w:tr w:rsidR="00516D3C" w:rsidRPr="001155ED" w:rsidTr="00FF1DBB">
        <w:trPr>
          <w:cantSplit/>
        </w:trPr>
        <w:tc>
          <w:tcPr>
            <w:tcW w:w="1695" w:type="dxa"/>
            <w:shd w:val="clear" w:color="auto" w:fill="auto"/>
          </w:tcPr>
          <w:p w:rsidR="00FD61D1" w:rsidRPr="00392216" w:rsidRDefault="00C05FFF" w:rsidP="00350639">
            <w:r w:rsidRPr="00392216">
              <w:lastRenderedPageBreak/>
              <w:t>Particuliers</w:t>
            </w:r>
            <w:r w:rsidR="00516D3C" w:rsidRPr="00392216">
              <w:t xml:space="preserve"> et praticiens</w:t>
            </w:r>
          </w:p>
        </w:tc>
        <w:tc>
          <w:tcPr>
            <w:tcW w:w="1959" w:type="dxa"/>
            <w:shd w:val="clear" w:color="auto" w:fill="auto"/>
          </w:tcPr>
          <w:p w:rsidR="00FD61D1" w:rsidRPr="00392216" w:rsidRDefault="00542D02" w:rsidP="00350639">
            <w:r w:rsidRPr="00392216">
              <w:t xml:space="preserve">Ce sous-secteur comprend les praticiens </w:t>
            </w:r>
            <w:r w:rsidR="00063906" w:rsidRPr="00392216">
              <w:t xml:space="preserve">qui </w:t>
            </w:r>
            <w:r w:rsidR="00267926" w:rsidRPr="00392216">
              <w:t xml:space="preserve">sont </w:t>
            </w:r>
            <w:r w:rsidRPr="00392216">
              <w:t xml:space="preserve">directement </w:t>
            </w:r>
            <w:r w:rsidR="00267926" w:rsidRPr="00392216">
              <w:t xml:space="preserve">associés à la prestation de </w:t>
            </w:r>
            <w:r w:rsidR="00944AA6" w:rsidRPr="00392216">
              <w:t xml:space="preserve">services communautaires, </w:t>
            </w:r>
            <w:r w:rsidR="00A3561A" w:rsidRPr="00392216">
              <w:t xml:space="preserve">ainsi que </w:t>
            </w:r>
            <w:r w:rsidR="00063906" w:rsidRPr="00392216">
              <w:t xml:space="preserve">les particuliers </w:t>
            </w:r>
            <w:r w:rsidR="00A3561A" w:rsidRPr="00392216">
              <w:t xml:space="preserve">qui ont </w:t>
            </w:r>
            <w:r w:rsidR="00063906" w:rsidRPr="00392216">
              <w:t xml:space="preserve">contribué de manière </w:t>
            </w:r>
            <w:r w:rsidR="00392216">
              <w:t>importante</w:t>
            </w:r>
            <w:r w:rsidR="00063906" w:rsidRPr="00392216">
              <w:t xml:space="preserve"> à </w:t>
            </w:r>
            <w:r w:rsidR="00A3561A" w:rsidRPr="00392216">
              <w:t>la recherche</w:t>
            </w:r>
            <w:r w:rsidR="00063906" w:rsidRPr="00392216">
              <w:t xml:space="preserve"> et</w:t>
            </w:r>
            <w:r w:rsidR="00A3561A" w:rsidRPr="00392216">
              <w:t xml:space="preserve"> </w:t>
            </w:r>
            <w:r w:rsidR="00063906" w:rsidRPr="00392216">
              <w:t xml:space="preserve">au </w:t>
            </w:r>
            <w:r w:rsidR="00A3561A" w:rsidRPr="00392216">
              <w:t>développement</w:t>
            </w:r>
            <w:r w:rsidR="00063906" w:rsidRPr="00392216">
              <w:t>, ainsi qu’à la</w:t>
            </w:r>
            <w:r w:rsidR="00A3561A" w:rsidRPr="00392216">
              <w:t xml:space="preserve"> </w:t>
            </w:r>
            <w:r w:rsidR="00944AA6" w:rsidRPr="00392216">
              <w:t>prestation</w:t>
            </w:r>
            <w:r w:rsidR="00A3561A" w:rsidRPr="00392216">
              <w:t xml:space="preserve"> et </w:t>
            </w:r>
            <w:r w:rsidR="00063906" w:rsidRPr="00392216">
              <w:t xml:space="preserve">à </w:t>
            </w:r>
            <w:r w:rsidR="00A3561A" w:rsidRPr="00392216">
              <w:t>la promotion des services communautaires de l</w:t>
            </w:r>
            <w:r w:rsidR="00274921">
              <w:t>’</w:t>
            </w:r>
            <w:r w:rsidR="00A3561A" w:rsidRPr="00392216">
              <w:t>Ontario.</w:t>
            </w:r>
          </w:p>
        </w:tc>
        <w:tc>
          <w:tcPr>
            <w:tcW w:w="1762" w:type="dxa"/>
            <w:shd w:val="clear" w:color="auto" w:fill="auto"/>
          </w:tcPr>
          <w:p w:rsidR="00FD61D1" w:rsidRPr="00392216" w:rsidRDefault="00150D76" w:rsidP="00350639">
            <w:r w:rsidRPr="00392216">
              <w:t xml:space="preserve">Aucune </w:t>
            </w:r>
            <w:r w:rsidR="00FF1DBB" w:rsidRPr="00392216">
              <w:t>fonction</w:t>
            </w:r>
            <w:r w:rsidR="00FB5EAA" w:rsidRPr="00392216">
              <w:t xml:space="preserve"> connexe</w:t>
            </w:r>
          </w:p>
        </w:tc>
        <w:tc>
          <w:tcPr>
            <w:tcW w:w="2123" w:type="dxa"/>
            <w:shd w:val="clear" w:color="auto" w:fill="auto"/>
          </w:tcPr>
          <w:p w:rsidR="00FD61D1" w:rsidRPr="00392216" w:rsidRDefault="00274921" w:rsidP="00350639">
            <w:r>
              <w:t>4372 F</w:t>
            </w:r>
            <w:r w:rsidR="00F347F4" w:rsidRPr="00392216">
              <w:t xml:space="preserve"> </w:t>
            </w:r>
            <w:r w:rsidR="00944AA6" w:rsidRPr="00392216">
              <w:t xml:space="preserve">Fonds </w:t>
            </w:r>
            <w:r w:rsidR="00F347F4" w:rsidRPr="00392216">
              <w:t>Salomon (</w:t>
            </w:r>
            <w:r w:rsidR="007E5053" w:rsidRPr="00392216">
              <w:t>« </w:t>
            </w:r>
            <w:r w:rsidR="00F347F4" w:rsidRPr="00392216">
              <w:t>Sal</w:t>
            </w:r>
            <w:r w:rsidR="007E5053" w:rsidRPr="00392216">
              <w:t> »</w:t>
            </w:r>
            <w:r w:rsidR="00F347F4" w:rsidRPr="00392216">
              <w:t xml:space="preserve">) </w:t>
            </w:r>
            <w:proofErr w:type="spellStart"/>
            <w:r w:rsidR="00F347F4" w:rsidRPr="00392216">
              <w:t>Chernia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FD61D1" w:rsidRPr="00392216" w:rsidRDefault="00542D02" w:rsidP="00350639">
            <w:r w:rsidRPr="00392216">
              <w:t xml:space="preserve">Ce sous-secteur documenterait </w:t>
            </w:r>
            <w:r w:rsidR="007E5053" w:rsidRPr="00392216">
              <w:t xml:space="preserve">les </w:t>
            </w:r>
            <w:r w:rsidR="00267926" w:rsidRPr="00392216">
              <w:t>particuliers</w:t>
            </w:r>
            <w:r w:rsidRPr="00392216">
              <w:t xml:space="preserve"> </w:t>
            </w:r>
            <w:r w:rsidR="00063906" w:rsidRPr="00392216">
              <w:t xml:space="preserve">qui ont </w:t>
            </w:r>
            <w:r w:rsidR="00267926" w:rsidRPr="00392216">
              <w:t>largement contribué au</w:t>
            </w:r>
            <w:r w:rsidR="00A3561A" w:rsidRPr="00392216">
              <w:t xml:space="preserve"> domaine des services communautaires de l</w:t>
            </w:r>
            <w:r w:rsidR="00274921">
              <w:t>’</w:t>
            </w:r>
            <w:r w:rsidR="00A3561A" w:rsidRPr="00392216">
              <w:t>Ontario.</w:t>
            </w:r>
          </w:p>
        </w:tc>
        <w:tc>
          <w:tcPr>
            <w:tcW w:w="2129" w:type="dxa"/>
            <w:shd w:val="clear" w:color="auto" w:fill="auto"/>
          </w:tcPr>
          <w:p w:rsidR="00FD61D1" w:rsidRPr="00392216" w:rsidRDefault="007D19CE" w:rsidP="00350639">
            <w:r w:rsidRPr="00392216">
              <w:t>Les Archives publiques de l’Ontario ont deux </w:t>
            </w:r>
            <w:r w:rsidR="00FF17B5" w:rsidRPr="00392216">
              <w:t>collections</w:t>
            </w:r>
            <w:r w:rsidRPr="00392216">
              <w:t xml:space="preserve"> lié</w:t>
            </w:r>
            <w:r w:rsidR="00FF17B5" w:rsidRPr="00392216">
              <w:t>e</w:t>
            </w:r>
            <w:r w:rsidRPr="00392216">
              <w:t>s à ce sous-secteur pour la période ultérieure à 1980.</w:t>
            </w:r>
          </w:p>
        </w:tc>
        <w:tc>
          <w:tcPr>
            <w:tcW w:w="2404" w:type="dxa"/>
            <w:shd w:val="clear" w:color="auto" w:fill="auto"/>
          </w:tcPr>
          <w:p w:rsidR="00FD61D1" w:rsidRPr="00392216" w:rsidRDefault="009E327E" w:rsidP="00350639">
            <w:r w:rsidRPr="00392216">
              <w:t>PRIORITÉ ÉLEVÉE</w:t>
            </w:r>
          </w:p>
        </w:tc>
      </w:tr>
      <w:tr w:rsidR="00516D3C" w:rsidRPr="001155ED" w:rsidTr="00FF1DBB">
        <w:trPr>
          <w:cantSplit/>
        </w:trPr>
        <w:tc>
          <w:tcPr>
            <w:tcW w:w="1695" w:type="dxa"/>
            <w:shd w:val="clear" w:color="auto" w:fill="auto"/>
          </w:tcPr>
          <w:p w:rsidR="00FD61D1" w:rsidRPr="00392216" w:rsidRDefault="00516D3C" w:rsidP="00350639">
            <w:r w:rsidRPr="00392216">
              <w:lastRenderedPageBreak/>
              <w:t>Centres de développement et de réadaptation</w:t>
            </w:r>
          </w:p>
        </w:tc>
        <w:tc>
          <w:tcPr>
            <w:tcW w:w="1959" w:type="dxa"/>
            <w:shd w:val="clear" w:color="auto" w:fill="auto"/>
          </w:tcPr>
          <w:p w:rsidR="00FD61D1" w:rsidRPr="00392216" w:rsidRDefault="00542D02" w:rsidP="00350639">
            <w:r w:rsidRPr="00392216">
              <w:t xml:space="preserve">Ce sous-secteur comprend les centres de traitement pour les adultes et les enfants </w:t>
            </w:r>
            <w:r w:rsidR="00A3561A" w:rsidRPr="00392216">
              <w:t>ayant des besoins particuliers</w:t>
            </w:r>
            <w:r w:rsidR="00392216">
              <w:t>,</w:t>
            </w:r>
            <w:r w:rsidR="00A3561A" w:rsidRPr="00392216">
              <w:t xml:space="preserve"> une déficience intellectuelle </w:t>
            </w:r>
            <w:r w:rsidR="00267926" w:rsidRPr="00392216">
              <w:t xml:space="preserve">ou des troubles du </w:t>
            </w:r>
            <w:r w:rsidR="00A3561A" w:rsidRPr="00392216">
              <w:t>développement.</w:t>
            </w:r>
          </w:p>
        </w:tc>
        <w:tc>
          <w:tcPr>
            <w:tcW w:w="1762" w:type="dxa"/>
            <w:shd w:val="clear" w:color="auto" w:fill="auto"/>
          </w:tcPr>
          <w:p w:rsidR="00CA2EC0" w:rsidRPr="00392216" w:rsidRDefault="00516D3C" w:rsidP="00350639">
            <w:r w:rsidRPr="00392216">
              <w:t>Prestation de services pour les personnes ayant une déficience intellectuelle</w:t>
            </w:r>
            <w:r w:rsidR="00587EC3" w:rsidRPr="00392216">
              <w:t xml:space="preserve"> </w:t>
            </w:r>
            <w:r w:rsidR="00A3561A" w:rsidRPr="00392216">
              <w:t>(</w:t>
            </w:r>
            <w:r w:rsidR="00274921">
              <w:t>m</w:t>
            </w:r>
            <w:r w:rsidR="00A3561A" w:rsidRPr="00392216">
              <w:t>inistère des Services sociaux et communautaires)</w:t>
            </w:r>
          </w:p>
          <w:p w:rsidR="00CA2EC0" w:rsidRPr="00392216" w:rsidRDefault="00CA2EC0" w:rsidP="00350639"/>
          <w:p w:rsidR="00CA2EC0" w:rsidRPr="00392216" w:rsidRDefault="00516D3C" w:rsidP="00350639">
            <w:r w:rsidRPr="00392216">
              <w:t>Accessibilité pour les personnes handicapées de l’Ontario</w:t>
            </w:r>
            <w:r w:rsidR="00587EC3" w:rsidRPr="00392216">
              <w:t xml:space="preserve"> </w:t>
            </w:r>
            <w:r w:rsidR="007E5053" w:rsidRPr="00392216">
              <w:t>(ministère des Services sociaux et communautaires)</w:t>
            </w:r>
          </w:p>
          <w:p w:rsidR="00CA2EC0" w:rsidRPr="00392216" w:rsidRDefault="00CA2EC0" w:rsidP="00350639"/>
          <w:p w:rsidR="00944AA6" w:rsidRPr="00392216" w:rsidRDefault="00516D3C" w:rsidP="00350639">
            <w:r w:rsidRPr="00392216">
              <w:t>Bien-être, protection et réadaptation de l’enfant</w:t>
            </w:r>
            <w:r w:rsidR="00CA2EC0" w:rsidRPr="00392216">
              <w:t xml:space="preserve"> (</w:t>
            </w:r>
            <w:r w:rsidR="007E5053" w:rsidRPr="00392216">
              <w:t>ministère des Services à l</w:t>
            </w:r>
            <w:r w:rsidR="00274921">
              <w:t>’</w:t>
            </w:r>
            <w:r w:rsidR="007E5053" w:rsidRPr="00392216">
              <w:t>enfance et à la jeunesse</w:t>
            </w:r>
            <w:r w:rsidR="00587EC3" w:rsidRPr="00392216">
              <w:t>)</w:t>
            </w:r>
          </w:p>
          <w:p w:rsidR="00FD61D1" w:rsidRPr="00392216" w:rsidRDefault="00FD61D1" w:rsidP="00350639"/>
        </w:tc>
        <w:tc>
          <w:tcPr>
            <w:tcW w:w="2123" w:type="dxa"/>
            <w:shd w:val="clear" w:color="auto" w:fill="auto"/>
          </w:tcPr>
          <w:p w:rsidR="00FD61D1" w:rsidRPr="00392216" w:rsidRDefault="00B943B5" w:rsidP="00350639">
            <w:r w:rsidRPr="00392216">
              <w:t xml:space="preserve">F 4336 </w:t>
            </w:r>
            <w:proofErr w:type="spellStart"/>
            <w:r w:rsidR="00944AA6" w:rsidRPr="00392216">
              <w:t>Fonds</w:t>
            </w:r>
            <w:proofErr w:type="spellEnd"/>
            <w:r w:rsidR="00944AA6" w:rsidRPr="00392216">
              <w:t xml:space="preserve"> </w:t>
            </w:r>
            <w:r w:rsidRPr="00392216">
              <w:t xml:space="preserve">West End </w:t>
            </w:r>
            <w:proofErr w:type="spellStart"/>
            <w:r w:rsidRPr="00392216">
              <w:t>Creche</w:t>
            </w:r>
            <w:proofErr w:type="spellEnd"/>
            <w:r w:rsidRPr="00392216">
              <w:t xml:space="preserve"> Child and Family Clinic</w:t>
            </w:r>
          </w:p>
        </w:tc>
        <w:tc>
          <w:tcPr>
            <w:tcW w:w="2544" w:type="dxa"/>
            <w:shd w:val="clear" w:color="auto" w:fill="auto"/>
          </w:tcPr>
          <w:p w:rsidR="00FD61D1" w:rsidRPr="00392216" w:rsidRDefault="00542D02" w:rsidP="00350639">
            <w:r w:rsidRPr="00392216">
              <w:t>Ce sous-secteur documenter</w:t>
            </w:r>
            <w:r w:rsidR="00944AA6" w:rsidRPr="00392216">
              <w:t>ait</w:t>
            </w:r>
            <w:r w:rsidRPr="00392216">
              <w:t xml:space="preserve"> les centres et les </w:t>
            </w:r>
            <w:r w:rsidR="00063906" w:rsidRPr="00392216">
              <w:t xml:space="preserve">organismes </w:t>
            </w:r>
            <w:r w:rsidRPr="00392216">
              <w:t xml:space="preserve">responsables </w:t>
            </w:r>
            <w:r w:rsidR="00944AA6" w:rsidRPr="00392216">
              <w:t>du</w:t>
            </w:r>
            <w:r w:rsidR="00A3561A" w:rsidRPr="00392216">
              <w:t xml:space="preserve"> traitement et </w:t>
            </w:r>
            <w:r w:rsidR="00944AA6" w:rsidRPr="00392216">
              <w:t xml:space="preserve">de </w:t>
            </w:r>
            <w:r w:rsidR="00A3561A" w:rsidRPr="00392216">
              <w:t>la réadaptation des personnes ayant une déficience intellectuelle en Ontario.</w:t>
            </w:r>
          </w:p>
        </w:tc>
        <w:tc>
          <w:tcPr>
            <w:tcW w:w="2129" w:type="dxa"/>
            <w:shd w:val="clear" w:color="auto" w:fill="auto"/>
          </w:tcPr>
          <w:p w:rsidR="00FD61D1" w:rsidRPr="00392216" w:rsidRDefault="007D19CE" w:rsidP="00350639">
            <w:r w:rsidRPr="00392216">
              <w:t>Les Archives publiques de l’Ontario ont un</w:t>
            </w:r>
            <w:r w:rsidR="00FF17B5" w:rsidRPr="00392216">
              <w:t>e collection</w:t>
            </w:r>
            <w:r w:rsidRPr="00392216">
              <w:t xml:space="preserve"> lié</w:t>
            </w:r>
            <w:r w:rsidR="00FF17B5" w:rsidRPr="00392216">
              <w:t>e</w:t>
            </w:r>
            <w:r w:rsidRPr="00392216">
              <w:t xml:space="preserve"> à ce sous-secteur pour la période ultérieure à 1980.</w:t>
            </w:r>
          </w:p>
        </w:tc>
        <w:tc>
          <w:tcPr>
            <w:tcW w:w="2404" w:type="dxa"/>
            <w:shd w:val="clear" w:color="auto" w:fill="auto"/>
          </w:tcPr>
          <w:p w:rsidR="00FD61D1" w:rsidRPr="00392216" w:rsidRDefault="009E327E" w:rsidP="00350639">
            <w:r w:rsidRPr="00392216">
              <w:t>PRIORITÉ ÉLEVÉE</w:t>
            </w:r>
          </w:p>
        </w:tc>
      </w:tr>
    </w:tbl>
    <w:p w:rsidR="009857E7" w:rsidRPr="001155ED" w:rsidRDefault="009857E7" w:rsidP="00350639">
      <w:pPr>
        <w:rPr>
          <w:lang w:val="en-GB"/>
        </w:rPr>
      </w:pPr>
    </w:p>
    <w:sectPr w:rsidR="009857E7" w:rsidRPr="001155ED" w:rsidSect="001C4E1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9A" w:rsidRDefault="0092369A" w:rsidP="00350639">
      <w:r>
        <w:separator/>
      </w:r>
    </w:p>
  </w:endnote>
  <w:endnote w:type="continuationSeparator" w:id="0">
    <w:p w:rsidR="0092369A" w:rsidRDefault="0092369A" w:rsidP="0035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21" w:rsidRDefault="00274921" w:rsidP="003506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D3" w:rsidRPr="00876480" w:rsidRDefault="00FD01D3" w:rsidP="00350639">
    <w:pPr>
      <w:pStyle w:val="Footer"/>
    </w:pPr>
    <w:r w:rsidRPr="00976943">
      <w:t xml:space="preserve">Rapport d’analyse du secteur </w:t>
    </w:r>
    <w:r>
      <w:t xml:space="preserve">des services communautaires en </w:t>
    </w:r>
    <w:r w:rsidRPr="00876480">
      <w:t>Ontario</w:t>
    </w:r>
    <w:r w:rsidRPr="00876480">
      <w:tab/>
      <w:t>Page</w:t>
    </w:r>
    <w:r w:rsidR="00274921">
      <w:t> </w:t>
    </w:r>
    <w:r w:rsidRPr="0043096F">
      <w:fldChar w:fldCharType="begin"/>
    </w:r>
    <w:r w:rsidRPr="00876480">
      <w:instrText xml:space="preserve"> PAGE  \* Arabic  \* MERGEFORMAT </w:instrText>
    </w:r>
    <w:r w:rsidRPr="0043096F">
      <w:fldChar w:fldCharType="separate"/>
    </w:r>
    <w:r w:rsidR="00FA22CC">
      <w:rPr>
        <w:noProof/>
      </w:rPr>
      <w:t>6</w:t>
    </w:r>
    <w:r w:rsidRPr="0043096F">
      <w:fldChar w:fldCharType="end"/>
    </w:r>
    <w:r w:rsidRPr="00876480">
      <w:t xml:space="preserve"> </w:t>
    </w:r>
    <w:r>
      <w:t>de</w:t>
    </w:r>
    <w:r w:rsidRPr="00876480">
      <w:t xml:space="preserve"> </w:t>
    </w:r>
    <w:r w:rsidRPr="0043096F">
      <w:fldChar w:fldCharType="begin"/>
    </w:r>
    <w:r w:rsidRPr="00876480">
      <w:instrText xml:space="preserve"> NUMPAGES  \* Arabic  \* MERGEFORMAT </w:instrText>
    </w:r>
    <w:r w:rsidRPr="0043096F">
      <w:fldChar w:fldCharType="separate"/>
    </w:r>
    <w:r w:rsidR="00FA22CC">
      <w:rPr>
        <w:noProof/>
      </w:rPr>
      <w:t>15</w:t>
    </w:r>
    <w:r w:rsidRPr="0043096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D3" w:rsidRDefault="00FD01D3" w:rsidP="00350639">
    <w:pPr>
      <w:pStyle w:val="Footer"/>
    </w:pPr>
    <w:r>
      <w:rPr>
        <w:noProof/>
      </w:rPr>
      <w:drawing>
        <wp:inline distT="0" distB="0" distL="0" distR="0" wp14:anchorId="1529F723" wp14:editId="05FABDFA">
          <wp:extent cx="3314700" cy="571500"/>
          <wp:effectExtent l="0" t="0" r="0" b="0"/>
          <wp:docPr id="1" name="Picture 1" descr="AO Logo - Biling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 Logo - Biling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9A" w:rsidRDefault="0092369A" w:rsidP="00350639">
      <w:r>
        <w:separator/>
      </w:r>
    </w:p>
  </w:footnote>
  <w:footnote w:type="continuationSeparator" w:id="0">
    <w:p w:rsidR="0092369A" w:rsidRDefault="0092369A" w:rsidP="00350639">
      <w:r>
        <w:continuationSeparator/>
      </w:r>
    </w:p>
  </w:footnote>
  <w:footnote w:id="1">
    <w:p w:rsidR="00FD01D3" w:rsidRPr="00762225" w:rsidRDefault="00FD01D3" w:rsidP="00350639">
      <w:pPr>
        <w:rPr>
          <w:color w:val="0000FF"/>
          <w:u w:val="single"/>
        </w:rPr>
      </w:pPr>
      <w:r w:rsidRPr="00762225">
        <w:rPr>
          <w:rStyle w:val="FootnoteReference"/>
          <w:sz w:val="20"/>
          <w:szCs w:val="20"/>
        </w:rPr>
        <w:footnoteRef/>
      </w:r>
      <w:r w:rsidRPr="00762225">
        <w:t xml:space="preserve"> </w:t>
      </w:r>
      <w:r w:rsidRPr="00762225">
        <w:rPr>
          <w:i/>
        </w:rPr>
        <w:t>Lettre de mandate 2014 : Services sociaux et communautaires</w:t>
      </w:r>
      <w:r w:rsidRPr="00762225">
        <w:t>. https://www.ontario.ca/fr/page/lettre-de-mandat-2014-services-sociaux-et-communautaires (consulté le 29 juin 2015)</w:t>
      </w:r>
    </w:p>
  </w:footnote>
  <w:footnote w:id="2">
    <w:p w:rsidR="00FD01D3" w:rsidRPr="00762225" w:rsidRDefault="00FD01D3" w:rsidP="00350639">
      <w:pPr>
        <w:pStyle w:val="FootnoteText"/>
      </w:pPr>
      <w:r w:rsidRPr="00762225">
        <w:rPr>
          <w:rStyle w:val="FootnoteReference"/>
        </w:rPr>
        <w:footnoteRef/>
      </w:r>
      <w:r w:rsidRPr="00762225">
        <w:t xml:space="preserve"> </w:t>
      </w:r>
      <w:r w:rsidRPr="00762225">
        <w:rPr>
          <w:i/>
        </w:rPr>
        <w:t>Lettre de mandat</w:t>
      </w:r>
      <w:r w:rsidR="00274921">
        <w:rPr>
          <w:i/>
        </w:rPr>
        <w:t> </w:t>
      </w:r>
      <w:r w:rsidRPr="00762225">
        <w:rPr>
          <w:i/>
        </w:rPr>
        <w:t>2014 : Services à l’enfance et à la jeunesse</w:t>
      </w:r>
      <w:r w:rsidR="00762225" w:rsidRPr="00762225">
        <w:t xml:space="preserve">. </w:t>
      </w:r>
      <w:r w:rsidRPr="00762225">
        <w:t>https://www.ontario.ca/fr/page/lettre-de-mandat-2014-services-lenfance-et-la-jeunesse (consulté le 29 juin 2015)</w:t>
      </w:r>
    </w:p>
  </w:footnote>
  <w:footnote w:id="3">
    <w:p w:rsidR="00FD01D3" w:rsidRPr="00762225" w:rsidRDefault="00FD01D3" w:rsidP="00350639">
      <w:pPr>
        <w:pStyle w:val="FootnoteText"/>
        <w:rPr>
          <w:i/>
        </w:rPr>
      </w:pPr>
      <w:r w:rsidRPr="00762225">
        <w:rPr>
          <w:rStyle w:val="FootnoteReference"/>
        </w:rPr>
        <w:footnoteRef/>
      </w:r>
      <w:r w:rsidRPr="00762225">
        <w:t xml:space="preserve"> </w:t>
      </w:r>
      <w:r w:rsidRPr="00762225">
        <w:rPr>
          <w:i/>
        </w:rPr>
        <w:t>Nouvel outil pour améliorer les possibilités d’emploi pour les personnes ayant des déficiences intellectuelles en Ontario</w:t>
      </w:r>
      <w:r w:rsidRPr="00762225">
        <w:t xml:space="preserve">. https://news.ontario.ca/mcss/fr/2015/05/nouvel-outil-pour-ameliorer-les-possibilites-demploi-pour-les-personnes-ayant-des-deficiences-intell.html (consulté le </w:t>
      </w:r>
      <w:r w:rsidRPr="00762225">
        <w:rPr>
          <w:i/>
        </w:rPr>
        <w:t>29 juin 2015)</w:t>
      </w:r>
    </w:p>
  </w:footnote>
  <w:footnote w:id="4">
    <w:p w:rsidR="00FD01D3" w:rsidRPr="00762225" w:rsidRDefault="00FD01D3" w:rsidP="00350639">
      <w:pPr>
        <w:pStyle w:val="FootnoteText"/>
      </w:pPr>
      <w:r w:rsidRPr="00762225">
        <w:rPr>
          <w:rStyle w:val="FootnoteReference"/>
          <w:i/>
        </w:rPr>
        <w:footnoteRef/>
      </w:r>
      <w:r w:rsidRPr="00762225">
        <w:t xml:space="preserve"> Faire progresser Ontario : Discours du Trône, 2014</w:t>
      </w:r>
      <w:r w:rsidR="00762225" w:rsidRPr="00762225">
        <w:t>.</w:t>
      </w:r>
      <w:r w:rsidRPr="00762225">
        <w:t xml:space="preserve"> https://news.ontario.ca/opo/fr/2014/07/faire-progresser-ontario-discours-du-trone.html (consulté le 29 juin 2015)</w:t>
      </w:r>
    </w:p>
  </w:footnote>
  <w:footnote w:id="5">
    <w:p w:rsidR="00FD01D3" w:rsidRPr="00762225" w:rsidRDefault="00FD01D3" w:rsidP="00350639">
      <w:pPr>
        <w:pStyle w:val="FootnoteText"/>
      </w:pPr>
      <w:r w:rsidRPr="00762225">
        <w:rPr>
          <w:rStyle w:val="FootnoteReference"/>
          <w:i/>
        </w:rPr>
        <w:footnoteRef/>
      </w:r>
      <w:r w:rsidRPr="00762225">
        <w:t xml:space="preserve"> </w:t>
      </w:r>
      <w:r w:rsidRPr="00762225">
        <w:rPr>
          <w:shd w:val="clear" w:color="auto" w:fill="FFFFFF"/>
        </w:rPr>
        <w:t>Un carrefour communautaire peut être une école, un centre du voisinage ou un autre lieu public qui offre des services coordonnés dans des domaines comme l</w:t>
      </w:r>
      <w:r w:rsidR="00274921">
        <w:rPr>
          <w:shd w:val="clear" w:color="auto" w:fill="FFFFFF"/>
        </w:rPr>
        <w:t>’</w:t>
      </w:r>
      <w:r w:rsidRPr="00762225">
        <w:rPr>
          <w:shd w:val="clear" w:color="auto" w:fill="FFFFFF"/>
        </w:rPr>
        <w:t>éducation, les soins de santé et les services sociaux. </w:t>
      </w:r>
      <w:r w:rsidRPr="00762225">
        <w:t>http://www.premier.gov.on.ca/fr/news/32299 (consulté le 29 juin 2015)</w:t>
      </w:r>
    </w:p>
  </w:footnote>
  <w:footnote w:id="6">
    <w:p w:rsidR="00FD01D3" w:rsidRPr="00762225" w:rsidRDefault="00FD01D3" w:rsidP="00350639">
      <w:pPr>
        <w:pStyle w:val="FootnoteText"/>
      </w:pPr>
      <w:r w:rsidRPr="00762225">
        <w:rPr>
          <w:rStyle w:val="FootnoteReference"/>
        </w:rPr>
        <w:footnoteRef/>
      </w:r>
      <w:r w:rsidRPr="00762225">
        <w:t xml:space="preserve"> </w:t>
      </w:r>
      <w:r w:rsidRPr="00762225">
        <w:rPr>
          <w:i/>
        </w:rPr>
        <w:t>Communiqué : Création du tout premier conseil de la première ministre pour de meilleures perspectives pour la jeunesse</w:t>
      </w:r>
      <w:r w:rsidRPr="00762225">
        <w:t>. https://news.ontario.ca/opo/fr/2013/03/creation-du-tout-premier-conseil-de-la-premiere-ministre-pour-de-meilleures-perspectives-pour-la-jeu.html (consulté le 29 juin 2015)</w:t>
      </w:r>
    </w:p>
  </w:footnote>
  <w:footnote w:id="7">
    <w:p w:rsidR="00FD01D3" w:rsidRPr="00114312" w:rsidRDefault="00FD01D3" w:rsidP="00350639">
      <w:pPr>
        <w:pStyle w:val="FootnoteText"/>
        <w:rPr>
          <w:highlight w:val="yellow"/>
        </w:rPr>
      </w:pPr>
      <w:r w:rsidRPr="00762225">
        <w:rPr>
          <w:rStyle w:val="FootnoteReference"/>
        </w:rPr>
        <w:footnoteRef/>
      </w:r>
      <w:r w:rsidRPr="00762225">
        <w:t xml:space="preserve"> Ministère des Services sociaux et communautaires. </w:t>
      </w:r>
      <w:r w:rsidRPr="00762225">
        <w:rPr>
          <w:i/>
        </w:rPr>
        <w:t>Le ministère : Nos programmes et nos services</w:t>
      </w:r>
      <w:r w:rsidRPr="00762225">
        <w:t>. http://www.mcss.gov.on.ca/fr/mcss/about/index.aspx (consulté le 29 juin 2015)</w:t>
      </w:r>
    </w:p>
  </w:footnote>
  <w:footnote w:id="8">
    <w:p w:rsidR="00FD01D3" w:rsidRPr="00CC34E0" w:rsidRDefault="00FD01D3" w:rsidP="00350639">
      <w:pPr>
        <w:pStyle w:val="FootnoteText"/>
        <w:rPr>
          <w:highlight w:val="green"/>
        </w:rPr>
      </w:pPr>
      <w:r w:rsidRPr="00392216">
        <w:rPr>
          <w:rStyle w:val="FootnoteReference"/>
        </w:rPr>
        <w:footnoteRef/>
      </w:r>
      <w:r w:rsidRPr="00392216">
        <w:t xml:space="preserve"> </w:t>
      </w:r>
      <w:r w:rsidRPr="00392216">
        <w:rPr>
          <w:i/>
        </w:rPr>
        <w:t>Document d’information sur le budget des dépenses et la planification des résultats</w:t>
      </w:r>
      <w:r w:rsidR="00274921">
        <w:rPr>
          <w:i/>
        </w:rPr>
        <w:t> </w:t>
      </w:r>
      <w:r w:rsidRPr="00392216">
        <w:rPr>
          <w:i/>
        </w:rPr>
        <w:t>2014-2015 MSSC</w:t>
      </w:r>
      <w:r w:rsidR="00392216" w:rsidRPr="00392216">
        <w:t xml:space="preserve">. </w:t>
      </w:r>
      <w:r w:rsidRPr="00392216">
        <w:t>http://www.mcss.gov.on.ca/documents/fr/mcss/publications/about/MCSS_rbp_2014_2015.pdf (consulté le 29 juin 2015)</w:t>
      </w:r>
    </w:p>
  </w:footnote>
  <w:footnote w:id="9">
    <w:p w:rsidR="00FD01D3" w:rsidRPr="00CC34E0" w:rsidRDefault="00FD01D3" w:rsidP="00350639">
      <w:pPr>
        <w:pStyle w:val="FootnoteText"/>
      </w:pPr>
      <w:r w:rsidRPr="00392216">
        <w:rPr>
          <w:rStyle w:val="FootnoteReference"/>
        </w:rPr>
        <w:footnoteRef/>
      </w:r>
      <w:r w:rsidRPr="00392216">
        <w:t xml:space="preserve"> Ministère des Services à l’enfance et à la jeunesse. </w:t>
      </w:r>
      <w:r w:rsidRPr="00392216">
        <w:rPr>
          <w:i/>
        </w:rPr>
        <w:t>Au sujet du ministère</w:t>
      </w:r>
      <w:r w:rsidRPr="00392216">
        <w:t>. http://www.children.gov.on.ca/htdocs/French/about/index.aspx (consulté le 29 juin 2015)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921" w:rsidRDefault="00274921" w:rsidP="003506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D3" w:rsidRDefault="00FD01D3" w:rsidP="00350639">
    <w:pPr>
      <w:pStyle w:val="Header"/>
    </w:pPr>
  </w:p>
  <w:p w:rsidR="00FD01D3" w:rsidRDefault="00FD01D3" w:rsidP="003506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D3" w:rsidRDefault="00FD01D3" w:rsidP="00350639">
    <w:pPr>
      <w:pStyle w:val="Header"/>
    </w:pPr>
    <w:r>
      <w:rPr>
        <w:noProof/>
      </w:rPr>
      <w:drawing>
        <wp:inline distT="0" distB="0" distL="0" distR="0" wp14:anchorId="70EADD77" wp14:editId="7D3F0434">
          <wp:extent cx="2133600" cy="990600"/>
          <wp:effectExtent l="0" t="0" r="0" b="0"/>
          <wp:docPr id="2" name="Picture 2" descr="NEW_Ont_logo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Ont_logo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A65"/>
    <w:multiLevelType w:val="hybridMultilevel"/>
    <w:tmpl w:val="DECCD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B2133"/>
    <w:multiLevelType w:val="hybridMultilevel"/>
    <w:tmpl w:val="927ABE3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C4D73"/>
    <w:multiLevelType w:val="hybridMultilevel"/>
    <w:tmpl w:val="6760244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C4276"/>
    <w:multiLevelType w:val="hybridMultilevel"/>
    <w:tmpl w:val="9CF63842"/>
    <w:lvl w:ilvl="0" w:tplc="1C9A8D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C486B"/>
    <w:multiLevelType w:val="hybridMultilevel"/>
    <w:tmpl w:val="9CF63842"/>
    <w:lvl w:ilvl="0" w:tplc="1C9A8D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528AD"/>
    <w:multiLevelType w:val="singleLevel"/>
    <w:tmpl w:val="05306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6">
    <w:nsid w:val="17C340EE"/>
    <w:multiLevelType w:val="hybridMultilevel"/>
    <w:tmpl w:val="CF9C1DEA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746A1"/>
    <w:multiLevelType w:val="hybridMultilevel"/>
    <w:tmpl w:val="6760244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2529B"/>
    <w:multiLevelType w:val="hybridMultilevel"/>
    <w:tmpl w:val="F5A0A960"/>
    <w:lvl w:ilvl="0" w:tplc="5A724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D197B"/>
    <w:multiLevelType w:val="hybridMultilevel"/>
    <w:tmpl w:val="4C7E00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85D29"/>
    <w:multiLevelType w:val="hybridMultilevel"/>
    <w:tmpl w:val="8D86B6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41223"/>
    <w:multiLevelType w:val="hybridMultilevel"/>
    <w:tmpl w:val="D402F7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740BE"/>
    <w:multiLevelType w:val="multilevel"/>
    <w:tmpl w:val="E918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2B5566"/>
    <w:multiLevelType w:val="hybridMultilevel"/>
    <w:tmpl w:val="F5A0A960"/>
    <w:lvl w:ilvl="0" w:tplc="5A724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B52FF"/>
    <w:multiLevelType w:val="hybridMultilevel"/>
    <w:tmpl w:val="F04AFF32"/>
    <w:lvl w:ilvl="0" w:tplc="1A14CF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D34F1"/>
    <w:multiLevelType w:val="hybridMultilevel"/>
    <w:tmpl w:val="42BC8016"/>
    <w:lvl w:ilvl="0" w:tplc="1ED070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C1550"/>
    <w:multiLevelType w:val="hybridMultilevel"/>
    <w:tmpl w:val="B9301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750824"/>
    <w:multiLevelType w:val="hybridMultilevel"/>
    <w:tmpl w:val="B12084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553C49"/>
    <w:multiLevelType w:val="hybridMultilevel"/>
    <w:tmpl w:val="F5A0A960"/>
    <w:lvl w:ilvl="0" w:tplc="5A724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4E6C23"/>
    <w:multiLevelType w:val="hybridMultilevel"/>
    <w:tmpl w:val="023884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254EE"/>
    <w:multiLevelType w:val="hybridMultilevel"/>
    <w:tmpl w:val="4A2628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51998"/>
    <w:multiLevelType w:val="hybridMultilevel"/>
    <w:tmpl w:val="3CACE64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17750"/>
    <w:multiLevelType w:val="hybridMultilevel"/>
    <w:tmpl w:val="EC505E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B6899"/>
    <w:multiLevelType w:val="hybridMultilevel"/>
    <w:tmpl w:val="E834C3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233C25"/>
    <w:multiLevelType w:val="hybridMultilevel"/>
    <w:tmpl w:val="0A7CA2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B322F"/>
    <w:multiLevelType w:val="hybridMultilevel"/>
    <w:tmpl w:val="280A562A"/>
    <w:lvl w:ilvl="0" w:tplc="1868A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0D1DD4"/>
    <w:multiLevelType w:val="hybridMultilevel"/>
    <w:tmpl w:val="E708D5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C7D"/>
    <w:multiLevelType w:val="hybridMultilevel"/>
    <w:tmpl w:val="C48E01A2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D0904"/>
    <w:multiLevelType w:val="hybridMultilevel"/>
    <w:tmpl w:val="A24488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E6D28"/>
    <w:multiLevelType w:val="hybridMultilevel"/>
    <w:tmpl w:val="AAB0A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D18EF"/>
    <w:multiLevelType w:val="singleLevel"/>
    <w:tmpl w:val="05306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num w:numId="1">
    <w:abstractNumId w:val="2"/>
  </w:num>
  <w:num w:numId="2">
    <w:abstractNumId w:val="10"/>
  </w:num>
  <w:num w:numId="3">
    <w:abstractNumId w:val="21"/>
  </w:num>
  <w:num w:numId="4">
    <w:abstractNumId w:val="11"/>
  </w:num>
  <w:num w:numId="5">
    <w:abstractNumId w:val="6"/>
  </w:num>
  <w:num w:numId="6">
    <w:abstractNumId w:val="22"/>
  </w:num>
  <w:num w:numId="7">
    <w:abstractNumId w:val="7"/>
  </w:num>
  <w:num w:numId="8">
    <w:abstractNumId w:val="1"/>
  </w:num>
  <w:num w:numId="9">
    <w:abstractNumId w:val="24"/>
  </w:num>
  <w:num w:numId="10">
    <w:abstractNumId w:val="8"/>
  </w:num>
  <w:num w:numId="11">
    <w:abstractNumId w:val="5"/>
  </w:num>
  <w:num w:numId="12">
    <w:abstractNumId w:val="12"/>
  </w:num>
  <w:num w:numId="13">
    <w:abstractNumId w:val="29"/>
  </w:num>
  <w:num w:numId="14">
    <w:abstractNumId w:val="23"/>
  </w:num>
  <w:num w:numId="15">
    <w:abstractNumId w:val="16"/>
  </w:num>
  <w:num w:numId="16">
    <w:abstractNumId w:val="17"/>
  </w:num>
  <w:num w:numId="17">
    <w:abstractNumId w:val="14"/>
  </w:num>
  <w:num w:numId="18">
    <w:abstractNumId w:val="20"/>
  </w:num>
  <w:num w:numId="19">
    <w:abstractNumId w:val="27"/>
  </w:num>
  <w:num w:numId="20">
    <w:abstractNumId w:val="4"/>
  </w:num>
  <w:num w:numId="21">
    <w:abstractNumId w:val="3"/>
  </w:num>
  <w:num w:numId="22">
    <w:abstractNumId w:val="25"/>
  </w:num>
  <w:num w:numId="23">
    <w:abstractNumId w:val="0"/>
  </w:num>
  <w:num w:numId="24">
    <w:abstractNumId w:val="28"/>
  </w:num>
  <w:num w:numId="25">
    <w:abstractNumId w:val="15"/>
  </w:num>
  <w:num w:numId="26">
    <w:abstractNumId w:val="26"/>
  </w:num>
  <w:num w:numId="27">
    <w:abstractNumId w:val="9"/>
  </w:num>
  <w:num w:numId="28">
    <w:abstractNumId w:val="19"/>
  </w:num>
  <w:num w:numId="29">
    <w:abstractNumId w:val="30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77"/>
    <w:rsid w:val="00003756"/>
    <w:rsid w:val="000059FF"/>
    <w:rsid w:val="00007204"/>
    <w:rsid w:val="00012802"/>
    <w:rsid w:val="00014EA1"/>
    <w:rsid w:val="000150B6"/>
    <w:rsid w:val="0002227F"/>
    <w:rsid w:val="00023D0D"/>
    <w:rsid w:val="0003160F"/>
    <w:rsid w:val="0003566A"/>
    <w:rsid w:val="0003689C"/>
    <w:rsid w:val="00036EBA"/>
    <w:rsid w:val="00037F64"/>
    <w:rsid w:val="00041A17"/>
    <w:rsid w:val="00045346"/>
    <w:rsid w:val="00046607"/>
    <w:rsid w:val="00047F38"/>
    <w:rsid w:val="00050930"/>
    <w:rsid w:val="00055DC0"/>
    <w:rsid w:val="000566AB"/>
    <w:rsid w:val="00063906"/>
    <w:rsid w:val="000653E3"/>
    <w:rsid w:val="000659F6"/>
    <w:rsid w:val="00065D18"/>
    <w:rsid w:val="00074715"/>
    <w:rsid w:val="00075DEF"/>
    <w:rsid w:val="00080568"/>
    <w:rsid w:val="00082F64"/>
    <w:rsid w:val="000841CA"/>
    <w:rsid w:val="000877E1"/>
    <w:rsid w:val="00090B44"/>
    <w:rsid w:val="00091B13"/>
    <w:rsid w:val="000A1533"/>
    <w:rsid w:val="000C1451"/>
    <w:rsid w:val="000C2AD0"/>
    <w:rsid w:val="000C3498"/>
    <w:rsid w:val="000C46B3"/>
    <w:rsid w:val="000C549E"/>
    <w:rsid w:val="000D7463"/>
    <w:rsid w:val="000D7C67"/>
    <w:rsid w:val="000E1AA8"/>
    <w:rsid w:val="000E32D5"/>
    <w:rsid w:val="000E7233"/>
    <w:rsid w:val="000F0AEE"/>
    <w:rsid w:val="000F12DC"/>
    <w:rsid w:val="000F24A3"/>
    <w:rsid w:val="000F5F97"/>
    <w:rsid w:val="000F643B"/>
    <w:rsid w:val="00102B84"/>
    <w:rsid w:val="00103155"/>
    <w:rsid w:val="001120B3"/>
    <w:rsid w:val="00114312"/>
    <w:rsid w:val="001155ED"/>
    <w:rsid w:val="00115CD4"/>
    <w:rsid w:val="00116E96"/>
    <w:rsid w:val="001171BA"/>
    <w:rsid w:val="00120CBB"/>
    <w:rsid w:val="0012176C"/>
    <w:rsid w:val="00124A71"/>
    <w:rsid w:val="00126058"/>
    <w:rsid w:val="00131C3B"/>
    <w:rsid w:val="001371D3"/>
    <w:rsid w:val="001373DC"/>
    <w:rsid w:val="00146B0D"/>
    <w:rsid w:val="00150B17"/>
    <w:rsid w:val="00150D76"/>
    <w:rsid w:val="00156008"/>
    <w:rsid w:val="001570AC"/>
    <w:rsid w:val="00167DD0"/>
    <w:rsid w:val="00174224"/>
    <w:rsid w:val="0019085D"/>
    <w:rsid w:val="00191B19"/>
    <w:rsid w:val="00192AB5"/>
    <w:rsid w:val="001972A9"/>
    <w:rsid w:val="001A1012"/>
    <w:rsid w:val="001A2090"/>
    <w:rsid w:val="001A244F"/>
    <w:rsid w:val="001A7077"/>
    <w:rsid w:val="001B16AE"/>
    <w:rsid w:val="001B1AB9"/>
    <w:rsid w:val="001B268D"/>
    <w:rsid w:val="001B6509"/>
    <w:rsid w:val="001C4102"/>
    <w:rsid w:val="001C4B0D"/>
    <w:rsid w:val="001C4E13"/>
    <w:rsid w:val="001C596D"/>
    <w:rsid w:val="001C7179"/>
    <w:rsid w:val="001D3639"/>
    <w:rsid w:val="001D4419"/>
    <w:rsid w:val="001D65C0"/>
    <w:rsid w:val="001E2689"/>
    <w:rsid w:val="001E3E45"/>
    <w:rsid w:val="001F00A6"/>
    <w:rsid w:val="001F3BC9"/>
    <w:rsid w:val="002014B8"/>
    <w:rsid w:val="00201680"/>
    <w:rsid w:val="00204184"/>
    <w:rsid w:val="00206855"/>
    <w:rsid w:val="00207A12"/>
    <w:rsid w:val="00207CEA"/>
    <w:rsid w:val="00210276"/>
    <w:rsid w:val="0021159C"/>
    <w:rsid w:val="00212AF7"/>
    <w:rsid w:val="00214801"/>
    <w:rsid w:val="002151D7"/>
    <w:rsid w:val="00221579"/>
    <w:rsid w:val="00240BEF"/>
    <w:rsid w:val="002509AA"/>
    <w:rsid w:val="0025223C"/>
    <w:rsid w:val="00252EDA"/>
    <w:rsid w:val="00255C34"/>
    <w:rsid w:val="00263A3D"/>
    <w:rsid w:val="00267926"/>
    <w:rsid w:val="002743D1"/>
    <w:rsid w:val="00274921"/>
    <w:rsid w:val="002804BB"/>
    <w:rsid w:val="00281CC1"/>
    <w:rsid w:val="00282B49"/>
    <w:rsid w:val="0028666D"/>
    <w:rsid w:val="002A05EC"/>
    <w:rsid w:val="002A575A"/>
    <w:rsid w:val="002A69F5"/>
    <w:rsid w:val="002B0576"/>
    <w:rsid w:val="002B14A0"/>
    <w:rsid w:val="002B190A"/>
    <w:rsid w:val="002B22DE"/>
    <w:rsid w:val="002B2E43"/>
    <w:rsid w:val="002C42D4"/>
    <w:rsid w:val="002D0CF5"/>
    <w:rsid w:val="002D125E"/>
    <w:rsid w:val="002D4E8F"/>
    <w:rsid w:val="002D7337"/>
    <w:rsid w:val="002E0EAA"/>
    <w:rsid w:val="002E2B25"/>
    <w:rsid w:val="002E6C46"/>
    <w:rsid w:val="002E6D2D"/>
    <w:rsid w:val="002F08F7"/>
    <w:rsid w:val="002F2438"/>
    <w:rsid w:val="002F6D5E"/>
    <w:rsid w:val="003113ED"/>
    <w:rsid w:val="00313160"/>
    <w:rsid w:val="00315D72"/>
    <w:rsid w:val="00316327"/>
    <w:rsid w:val="003164CC"/>
    <w:rsid w:val="0032079D"/>
    <w:rsid w:val="00320A7C"/>
    <w:rsid w:val="0032322A"/>
    <w:rsid w:val="00323590"/>
    <w:rsid w:val="00331C67"/>
    <w:rsid w:val="00331C9C"/>
    <w:rsid w:val="00334E4A"/>
    <w:rsid w:val="00335E55"/>
    <w:rsid w:val="00336750"/>
    <w:rsid w:val="00343F91"/>
    <w:rsid w:val="00350639"/>
    <w:rsid w:val="00361418"/>
    <w:rsid w:val="003614EE"/>
    <w:rsid w:val="0036587A"/>
    <w:rsid w:val="00365AC7"/>
    <w:rsid w:val="00375025"/>
    <w:rsid w:val="003843A0"/>
    <w:rsid w:val="00392216"/>
    <w:rsid w:val="003971E1"/>
    <w:rsid w:val="003A3485"/>
    <w:rsid w:val="003B33C5"/>
    <w:rsid w:val="003B645E"/>
    <w:rsid w:val="003C1466"/>
    <w:rsid w:val="003C3F79"/>
    <w:rsid w:val="003C525C"/>
    <w:rsid w:val="003C78C0"/>
    <w:rsid w:val="003D32F3"/>
    <w:rsid w:val="003D4371"/>
    <w:rsid w:val="003D488C"/>
    <w:rsid w:val="003D6990"/>
    <w:rsid w:val="003E74A8"/>
    <w:rsid w:val="003E7AFA"/>
    <w:rsid w:val="003F0BC3"/>
    <w:rsid w:val="003F56FC"/>
    <w:rsid w:val="0040183C"/>
    <w:rsid w:val="0040449F"/>
    <w:rsid w:val="0040492A"/>
    <w:rsid w:val="004052CE"/>
    <w:rsid w:val="00406CED"/>
    <w:rsid w:val="00411FB3"/>
    <w:rsid w:val="0041304C"/>
    <w:rsid w:val="00415304"/>
    <w:rsid w:val="00416878"/>
    <w:rsid w:val="00417302"/>
    <w:rsid w:val="0042029D"/>
    <w:rsid w:val="00420338"/>
    <w:rsid w:val="004218E0"/>
    <w:rsid w:val="00422488"/>
    <w:rsid w:val="004271C9"/>
    <w:rsid w:val="004279EE"/>
    <w:rsid w:val="00427C74"/>
    <w:rsid w:val="00430803"/>
    <w:rsid w:val="004308AE"/>
    <w:rsid w:val="0043096F"/>
    <w:rsid w:val="004341F2"/>
    <w:rsid w:val="0043431D"/>
    <w:rsid w:val="00435062"/>
    <w:rsid w:val="00440070"/>
    <w:rsid w:val="004436A1"/>
    <w:rsid w:val="00445253"/>
    <w:rsid w:val="00445CAF"/>
    <w:rsid w:val="00452F3B"/>
    <w:rsid w:val="00456BF8"/>
    <w:rsid w:val="004609C3"/>
    <w:rsid w:val="00460D63"/>
    <w:rsid w:val="0046327C"/>
    <w:rsid w:val="004656F5"/>
    <w:rsid w:val="00465E65"/>
    <w:rsid w:val="004712E3"/>
    <w:rsid w:val="004762FC"/>
    <w:rsid w:val="0047646E"/>
    <w:rsid w:val="004769A8"/>
    <w:rsid w:val="0047736C"/>
    <w:rsid w:val="00482DA2"/>
    <w:rsid w:val="00483AA9"/>
    <w:rsid w:val="004940A3"/>
    <w:rsid w:val="0049514B"/>
    <w:rsid w:val="0049690D"/>
    <w:rsid w:val="004A1DC5"/>
    <w:rsid w:val="004B2ADA"/>
    <w:rsid w:val="004B52F2"/>
    <w:rsid w:val="004C4171"/>
    <w:rsid w:val="004C4CDA"/>
    <w:rsid w:val="004C5246"/>
    <w:rsid w:val="004C5C4B"/>
    <w:rsid w:val="004C742A"/>
    <w:rsid w:val="004D0813"/>
    <w:rsid w:val="004D3AE7"/>
    <w:rsid w:val="004D55CA"/>
    <w:rsid w:val="004D765A"/>
    <w:rsid w:val="004F104D"/>
    <w:rsid w:val="004F254D"/>
    <w:rsid w:val="004F4459"/>
    <w:rsid w:val="004F53E8"/>
    <w:rsid w:val="004F6370"/>
    <w:rsid w:val="0050052C"/>
    <w:rsid w:val="005012A5"/>
    <w:rsid w:val="005019F4"/>
    <w:rsid w:val="00503528"/>
    <w:rsid w:val="005036A2"/>
    <w:rsid w:val="00503C64"/>
    <w:rsid w:val="00511748"/>
    <w:rsid w:val="00516D3C"/>
    <w:rsid w:val="0051744F"/>
    <w:rsid w:val="00520D79"/>
    <w:rsid w:val="0052315E"/>
    <w:rsid w:val="0052477A"/>
    <w:rsid w:val="0052713B"/>
    <w:rsid w:val="00530187"/>
    <w:rsid w:val="00532F89"/>
    <w:rsid w:val="00533E96"/>
    <w:rsid w:val="00542D02"/>
    <w:rsid w:val="00544AFD"/>
    <w:rsid w:val="00550632"/>
    <w:rsid w:val="00550B6E"/>
    <w:rsid w:val="0055700F"/>
    <w:rsid w:val="00557783"/>
    <w:rsid w:val="00557F70"/>
    <w:rsid w:val="005614C3"/>
    <w:rsid w:val="00561C35"/>
    <w:rsid w:val="00565D57"/>
    <w:rsid w:val="005672E6"/>
    <w:rsid w:val="00567B83"/>
    <w:rsid w:val="005717B3"/>
    <w:rsid w:val="00571CCE"/>
    <w:rsid w:val="00571E0A"/>
    <w:rsid w:val="00572255"/>
    <w:rsid w:val="00575CE9"/>
    <w:rsid w:val="005810F3"/>
    <w:rsid w:val="00587028"/>
    <w:rsid w:val="00587386"/>
    <w:rsid w:val="00587EC3"/>
    <w:rsid w:val="00592E40"/>
    <w:rsid w:val="005967A0"/>
    <w:rsid w:val="00596F55"/>
    <w:rsid w:val="005A1ABB"/>
    <w:rsid w:val="005A2812"/>
    <w:rsid w:val="005A30C5"/>
    <w:rsid w:val="005A50E3"/>
    <w:rsid w:val="005A551A"/>
    <w:rsid w:val="005A6352"/>
    <w:rsid w:val="005B143A"/>
    <w:rsid w:val="005B2768"/>
    <w:rsid w:val="005B377D"/>
    <w:rsid w:val="005B4D8C"/>
    <w:rsid w:val="005B7B69"/>
    <w:rsid w:val="005C3F5C"/>
    <w:rsid w:val="005C4F9B"/>
    <w:rsid w:val="005D074D"/>
    <w:rsid w:val="005D1A0D"/>
    <w:rsid w:val="005D6927"/>
    <w:rsid w:val="005E35F6"/>
    <w:rsid w:val="005F1335"/>
    <w:rsid w:val="005F46D9"/>
    <w:rsid w:val="005F678C"/>
    <w:rsid w:val="00610C4B"/>
    <w:rsid w:val="00613F37"/>
    <w:rsid w:val="00614034"/>
    <w:rsid w:val="006155B5"/>
    <w:rsid w:val="00615824"/>
    <w:rsid w:val="00617871"/>
    <w:rsid w:val="00620AE7"/>
    <w:rsid w:val="00630D87"/>
    <w:rsid w:val="00634E36"/>
    <w:rsid w:val="00637AD8"/>
    <w:rsid w:val="0064085D"/>
    <w:rsid w:val="00644AB2"/>
    <w:rsid w:val="00646E4F"/>
    <w:rsid w:val="00646F49"/>
    <w:rsid w:val="00647DAF"/>
    <w:rsid w:val="00655149"/>
    <w:rsid w:val="00657B41"/>
    <w:rsid w:val="00663323"/>
    <w:rsid w:val="0066392A"/>
    <w:rsid w:val="00665C3D"/>
    <w:rsid w:val="00666195"/>
    <w:rsid w:val="006670E1"/>
    <w:rsid w:val="0067295B"/>
    <w:rsid w:val="006749A4"/>
    <w:rsid w:val="00675E32"/>
    <w:rsid w:val="00676991"/>
    <w:rsid w:val="00681277"/>
    <w:rsid w:val="00681295"/>
    <w:rsid w:val="006816C0"/>
    <w:rsid w:val="006824DC"/>
    <w:rsid w:val="006843BF"/>
    <w:rsid w:val="006855EC"/>
    <w:rsid w:val="00686D4C"/>
    <w:rsid w:val="006920FF"/>
    <w:rsid w:val="00695240"/>
    <w:rsid w:val="0069583D"/>
    <w:rsid w:val="006976EE"/>
    <w:rsid w:val="006A0742"/>
    <w:rsid w:val="006A0894"/>
    <w:rsid w:val="006A2C62"/>
    <w:rsid w:val="006B6791"/>
    <w:rsid w:val="006C152B"/>
    <w:rsid w:val="006C3B90"/>
    <w:rsid w:val="006C41D3"/>
    <w:rsid w:val="006C651B"/>
    <w:rsid w:val="006C75B2"/>
    <w:rsid w:val="006D0738"/>
    <w:rsid w:val="006D2CD5"/>
    <w:rsid w:val="006E0EEF"/>
    <w:rsid w:val="006E1380"/>
    <w:rsid w:val="006E207C"/>
    <w:rsid w:val="006F2696"/>
    <w:rsid w:val="006F5859"/>
    <w:rsid w:val="006F7410"/>
    <w:rsid w:val="006F7500"/>
    <w:rsid w:val="00700DB2"/>
    <w:rsid w:val="0070558D"/>
    <w:rsid w:val="00705EAC"/>
    <w:rsid w:val="00711241"/>
    <w:rsid w:val="007119AB"/>
    <w:rsid w:val="00716713"/>
    <w:rsid w:val="00717C06"/>
    <w:rsid w:val="007208BB"/>
    <w:rsid w:val="007245D2"/>
    <w:rsid w:val="00734113"/>
    <w:rsid w:val="00734D91"/>
    <w:rsid w:val="00736F61"/>
    <w:rsid w:val="007423E6"/>
    <w:rsid w:val="00742E53"/>
    <w:rsid w:val="00742E54"/>
    <w:rsid w:val="00743B30"/>
    <w:rsid w:val="0075021A"/>
    <w:rsid w:val="00751B95"/>
    <w:rsid w:val="007569AE"/>
    <w:rsid w:val="00757D7F"/>
    <w:rsid w:val="00762225"/>
    <w:rsid w:val="00765887"/>
    <w:rsid w:val="00770C24"/>
    <w:rsid w:val="00773B25"/>
    <w:rsid w:val="00773FE0"/>
    <w:rsid w:val="00775463"/>
    <w:rsid w:val="00775D38"/>
    <w:rsid w:val="00777E07"/>
    <w:rsid w:val="00783FB2"/>
    <w:rsid w:val="00787029"/>
    <w:rsid w:val="00795BF5"/>
    <w:rsid w:val="00796A13"/>
    <w:rsid w:val="007A470B"/>
    <w:rsid w:val="007A5991"/>
    <w:rsid w:val="007B07B8"/>
    <w:rsid w:val="007B5E93"/>
    <w:rsid w:val="007C0AF1"/>
    <w:rsid w:val="007C5649"/>
    <w:rsid w:val="007C569D"/>
    <w:rsid w:val="007C7177"/>
    <w:rsid w:val="007D0C17"/>
    <w:rsid w:val="007D19CE"/>
    <w:rsid w:val="007D6D6F"/>
    <w:rsid w:val="007D74B8"/>
    <w:rsid w:val="007E24BB"/>
    <w:rsid w:val="007E5053"/>
    <w:rsid w:val="007F134E"/>
    <w:rsid w:val="007F2163"/>
    <w:rsid w:val="007F3CEF"/>
    <w:rsid w:val="007F608A"/>
    <w:rsid w:val="007F74FE"/>
    <w:rsid w:val="00806AE3"/>
    <w:rsid w:val="00810CEE"/>
    <w:rsid w:val="00810FFC"/>
    <w:rsid w:val="00813564"/>
    <w:rsid w:val="008178AA"/>
    <w:rsid w:val="00825D07"/>
    <w:rsid w:val="0083110F"/>
    <w:rsid w:val="008343B2"/>
    <w:rsid w:val="0083491B"/>
    <w:rsid w:val="008417FF"/>
    <w:rsid w:val="008453C7"/>
    <w:rsid w:val="00845A03"/>
    <w:rsid w:val="00846D45"/>
    <w:rsid w:val="008536F5"/>
    <w:rsid w:val="0085574C"/>
    <w:rsid w:val="0086126C"/>
    <w:rsid w:val="00870314"/>
    <w:rsid w:val="008709E5"/>
    <w:rsid w:val="00870C96"/>
    <w:rsid w:val="00871FE4"/>
    <w:rsid w:val="008750CE"/>
    <w:rsid w:val="008756C1"/>
    <w:rsid w:val="00876480"/>
    <w:rsid w:val="00883E88"/>
    <w:rsid w:val="00890A6D"/>
    <w:rsid w:val="00891B8E"/>
    <w:rsid w:val="00892E51"/>
    <w:rsid w:val="008956C7"/>
    <w:rsid w:val="008A39AB"/>
    <w:rsid w:val="008A45B2"/>
    <w:rsid w:val="008B27AD"/>
    <w:rsid w:val="008B2F4B"/>
    <w:rsid w:val="008B4735"/>
    <w:rsid w:val="008C395F"/>
    <w:rsid w:val="008D0361"/>
    <w:rsid w:val="008D2F75"/>
    <w:rsid w:val="008D3DD9"/>
    <w:rsid w:val="008E5D83"/>
    <w:rsid w:val="008E6F46"/>
    <w:rsid w:val="008E73DB"/>
    <w:rsid w:val="008E7E5A"/>
    <w:rsid w:val="008F0FFB"/>
    <w:rsid w:val="008F3074"/>
    <w:rsid w:val="008F3713"/>
    <w:rsid w:val="008F4CB5"/>
    <w:rsid w:val="008F566B"/>
    <w:rsid w:val="009001B9"/>
    <w:rsid w:val="00900786"/>
    <w:rsid w:val="009031F2"/>
    <w:rsid w:val="0090424E"/>
    <w:rsid w:val="00906917"/>
    <w:rsid w:val="0090716C"/>
    <w:rsid w:val="00912973"/>
    <w:rsid w:val="00914256"/>
    <w:rsid w:val="00923165"/>
    <w:rsid w:val="0092369A"/>
    <w:rsid w:val="00932CA5"/>
    <w:rsid w:val="00936523"/>
    <w:rsid w:val="00936741"/>
    <w:rsid w:val="009379CB"/>
    <w:rsid w:val="00944AA6"/>
    <w:rsid w:val="00945C78"/>
    <w:rsid w:val="00951689"/>
    <w:rsid w:val="009533EC"/>
    <w:rsid w:val="009556EA"/>
    <w:rsid w:val="009604F2"/>
    <w:rsid w:val="00966DC6"/>
    <w:rsid w:val="00967339"/>
    <w:rsid w:val="00973D6B"/>
    <w:rsid w:val="009773BA"/>
    <w:rsid w:val="0098061F"/>
    <w:rsid w:val="00981E95"/>
    <w:rsid w:val="0098208E"/>
    <w:rsid w:val="009857E7"/>
    <w:rsid w:val="00990030"/>
    <w:rsid w:val="00990449"/>
    <w:rsid w:val="00995E91"/>
    <w:rsid w:val="009974FD"/>
    <w:rsid w:val="009976D4"/>
    <w:rsid w:val="00997A4D"/>
    <w:rsid w:val="009A683A"/>
    <w:rsid w:val="009B5720"/>
    <w:rsid w:val="009C1D22"/>
    <w:rsid w:val="009C2A80"/>
    <w:rsid w:val="009D34C4"/>
    <w:rsid w:val="009D5C40"/>
    <w:rsid w:val="009E2AF4"/>
    <w:rsid w:val="009E327E"/>
    <w:rsid w:val="009F25A1"/>
    <w:rsid w:val="009F79EB"/>
    <w:rsid w:val="00A00602"/>
    <w:rsid w:val="00A01C1D"/>
    <w:rsid w:val="00A03222"/>
    <w:rsid w:val="00A05D8B"/>
    <w:rsid w:val="00A06001"/>
    <w:rsid w:val="00A06641"/>
    <w:rsid w:val="00A1288B"/>
    <w:rsid w:val="00A2406E"/>
    <w:rsid w:val="00A25BEA"/>
    <w:rsid w:val="00A266F3"/>
    <w:rsid w:val="00A27D5E"/>
    <w:rsid w:val="00A310F4"/>
    <w:rsid w:val="00A32442"/>
    <w:rsid w:val="00A3561A"/>
    <w:rsid w:val="00A415B7"/>
    <w:rsid w:val="00A42B93"/>
    <w:rsid w:val="00A42F23"/>
    <w:rsid w:val="00A44919"/>
    <w:rsid w:val="00A44A44"/>
    <w:rsid w:val="00A45416"/>
    <w:rsid w:val="00A454C7"/>
    <w:rsid w:val="00A548F6"/>
    <w:rsid w:val="00A74CED"/>
    <w:rsid w:val="00A76964"/>
    <w:rsid w:val="00A83CEF"/>
    <w:rsid w:val="00A9457C"/>
    <w:rsid w:val="00AA073E"/>
    <w:rsid w:val="00AA1DE2"/>
    <w:rsid w:val="00AA21A6"/>
    <w:rsid w:val="00AA3B8F"/>
    <w:rsid w:val="00AA3E40"/>
    <w:rsid w:val="00AA5AE7"/>
    <w:rsid w:val="00AA5B6B"/>
    <w:rsid w:val="00AA6CA0"/>
    <w:rsid w:val="00AB0A8D"/>
    <w:rsid w:val="00AB768D"/>
    <w:rsid w:val="00AB79A8"/>
    <w:rsid w:val="00AB7AD1"/>
    <w:rsid w:val="00AC3BDF"/>
    <w:rsid w:val="00AD1A0B"/>
    <w:rsid w:val="00AE1CA3"/>
    <w:rsid w:val="00AE69D5"/>
    <w:rsid w:val="00AF6315"/>
    <w:rsid w:val="00B00A74"/>
    <w:rsid w:val="00B01B75"/>
    <w:rsid w:val="00B03859"/>
    <w:rsid w:val="00B053B5"/>
    <w:rsid w:val="00B15AE4"/>
    <w:rsid w:val="00B15AEF"/>
    <w:rsid w:val="00B16715"/>
    <w:rsid w:val="00B2017A"/>
    <w:rsid w:val="00B20DC7"/>
    <w:rsid w:val="00B43B0B"/>
    <w:rsid w:val="00B4643E"/>
    <w:rsid w:val="00B4660B"/>
    <w:rsid w:val="00B53939"/>
    <w:rsid w:val="00B61643"/>
    <w:rsid w:val="00B66B46"/>
    <w:rsid w:val="00B72AA2"/>
    <w:rsid w:val="00B72B2A"/>
    <w:rsid w:val="00B734FF"/>
    <w:rsid w:val="00B74042"/>
    <w:rsid w:val="00B7680D"/>
    <w:rsid w:val="00B907D3"/>
    <w:rsid w:val="00B942F0"/>
    <w:rsid w:val="00B943B5"/>
    <w:rsid w:val="00B968B8"/>
    <w:rsid w:val="00BA04C6"/>
    <w:rsid w:val="00BA05EE"/>
    <w:rsid w:val="00BA06AB"/>
    <w:rsid w:val="00BA3C67"/>
    <w:rsid w:val="00BA4C22"/>
    <w:rsid w:val="00BB1B56"/>
    <w:rsid w:val="00BB302B"/>
    <w:rsid w:val="00BB4858"/>
    <w:rsid w:val="00BB76EB"/>
    <w:rsid w:val="00BC44CC"/>
    <w:rsid w:val="00BC4557"/>
    <w:rsid w:val="00BC735C"/>
    <w:rsid w:val="00BD5A45"/>
    <w:rsid w:val="00BE3CC0"/>
    <w:rsid w:val="00BE3F34"/>
    <w:rsid w:val="00BE4FFF"/>
    <w:rsid w:val="00BE5B0A"/>
    <w:rsid w:val="00BF1B30"/>
    <w:rsid w:val="00BF21BA"/>
    <w:rsid w:val="00C01299"/>
    <w:rsid w:val="00C023D1"/>
    <w:rsid w:val="00C05887"/>
    <w:rsid w:val="00C05FFF"/>
    <w:rsid w:val="00C11BDD"/>
    <w:rsid w:val="00C16F90"/>
    <w:rsid w:val="00C272BA"/>
    <w:rsid w:val="00C31081"/>
    <w:rsid w:val="00C31276"/>
    <w:rsid w:val="00C34A08"/>
    <w:rsid w:val="00C35BE6"/>
    <w:rsid w:val="00C367D8"/>
    <w:rsid w:val="00C40616"/>
    <w:rsid w:val="00C511AE"/>
    <w:rsid w:val="00C566EE"/>
    <w:rsid w:val="00C617CE"/>
    <w:rsid w:val="00C6483C"/>
    <w:rsid w:val="00C70F0A"/>
    <w:rsid w:val="00C731C9"/>
    <w:rsid w:val="00C74228"/>
    <w:rsid w:val="00C74231"/>
    <w:rsid w:val="00C80155"/>
    <w:rsid w:val="00C80934"/>
    <w:rsid w:val="00C82B53"/>
    <w:rsid w:val="00C843B0"/>
    <w:rsid w:val="00C848F7"/>
    <w:rsid w:val="00C93350"/>
    <w:rsid w:val="00C936D6"/>
    <w:rsid w:val="00C939D5"/>
    <w:rsid w:val="00C966D9"/>
    <w:rsid w:val="00CA2666"/>
    <w:rsid w:val="00CA2EC0"/>
    <w:rsid w:val="00CA446E"/>
    <w:rsid w:val="00CB38F1"/>
    <w:rsid w:val="00CC08F0"/>
    <w:rsid w:val="00CC1A7B"/>
    <w:rsid w:val="00CC34E0"/>
    <w:rsid w:val="00CC6168"/>
    <w:rsid w:val="00CD0044"/>
    <w:rsid w:val="00CD54E4"/>
    <w:rsid w:val="00CD55A4"/>
    <w:rsid w:val="00CD7318"/>
    <w:rsid w:val="00CE0D92"/>
    <w:rsid w:val="00CE29A3"/>
    <w:rsid w:val="00CE4D2D"/>
    <w:rsid w:val="00CE573A"/>
    <w:rsid w:val="00CF6225"/>
    <w:rsid w:val="00D03F4D"/>
    <w:rsid w:val="00D134FB"/>
    <w:rsid w:val="00D15AA1"/>
    <w:rsid w:val="00D171FA"/>
    <w:rsid w:val="00D20CD5"/>
    <w:rsid w:val="00D20D39"/>
    <w:rsid w:val="00D210A5"/>
    <w:rsid w:val="00D244B2"/>
    <w:rsid w:val="00D246AA"/>
    <w:rsid w:val="00D40C77"/>
    <w:rsid w:val="00D41A23"/>
    <w:rsid w:val="00D44949"/>
    <w:rsid w:val="00D468B1"/>
    <w:rsid w:val="00D5142F"/>
    <w:rsid w:val="00D53529"/>
    <w:rsid w:val="00D55258"/>
    <w:rsid w:val="00D55529"/>
    <w:rsid w:val="00D55DCF"/>
    <w:rsid w:val="00D6158D"/>
    <w:rsid w:val="00D6349C"/>
    <w:rsid w:val="00D64983"/>
    <w:rsid w:val="00D71E05"/>
    <w:rsid w:val="00D77D4C"/>
    <w:rsid w:val="00D80DF3"/>
    <w:rsid w:val="00D822E1"/>
    <w:rsid w:val="00D827D5"/>
    <w:rsid w:val="00D84BD5"/>
    <w:rsid w:val="00D84BFD"/>
    <w:rsid w:val="00D87332"/>
    <w:rsid w:val="00D908CC"/>
    <w:rsid w:val="00D9555C"/>
    <w:rsid w:val="00D96EB0"/>
    <w:rsid w:val="00DA1BF6"/>
    <w:rsid w:val="00DA3A68"/>
    <w:rsid w:val="00DB085D"/>
    <w:rsid w:val="00DB1671"/>
    <w:rsid w:val="00DB66DF"/>
    <w:rsid w:val="00DC01F5"/>
    <w:rsid w:val="00DC1FF0"/>
    <w:rsid w:val="00DC2DD6"/>
    <w:rsid w:val="00DC3494"/>
    <w:rsid w:val="00DC4476"/>
    <w:rsid w:val="00DD3765"/>
    <w:rsid w:val="00DD697F"/>
    <w:rsid w:val="00DE4862"/>
    <w:rsid w:val="00DE587D"/>
    <w:rsid w:val="00DE70AA"/>
    <w:rsid w:val="00DE7171"/>
    <w:rsid w:val="00DF00E6"/>
    <w:rsid w:val="00DF6DF8"/>
    <w:rsid w:val="00DF7167"/>
    <w:rsid w:val="00E00FAF"/>
    <w:rsid w:val="00E02622"/>
    <w:rsid w:val="00E03359"/>
    <w:rsid w:val="00E03623"/>
    <w:rsid w:val="00E04FFF"/>
    <w:rsid w:val="00E0786A"/>
    <w:rsid w:val="00E112E0"/>
    <w:rsid w:val="00E11478"/>
    <w:rsid w:val="00E1538F"/>
    <w:rsid w:val="00E20992"/>
    <w:rsid w:val="00E44B66"/>
    <w:rsid w:val="00E46D30"/>
    <w:rsid w:val="00E47414"/>
    <w:rsid w:val="00E52EBF"/>
    <w:rsid w:val="00E53431"/>
    <w:rsid w:val="00E55291"/>
    <w:rsid w:val="00E71649"/>
    <w:rsid w:val="00E717E0"/>
    <w:rsid w:val="00E72F3F"/>
    <w:rsid w:val="00E77064"/>
    <w:rsid w:val="00E922F7"/>
    <w:rsid w:val="00E94B6F"/>
    <w:rsid w:val="00E94D71"/>
    <w:rsid w:val="00E95576"/>
    <w:rsid w:val="00EA60EE"/>
    <w:rsid w:val="00EB275C"/>
    <w:rsid w:val="00EB3CCB"/>
    <w:rsid w:val="00EB3DDA"/>
    <w:rsid w:val="00EB587D"/>
    <w:rsid w:val="00EC143F"/>
    <w:rsid w:val="00EC2DE4"/>
    <w:rsid w:val="00EC3A6D"/>
    <w:rsid w:val="00EC53E2"/>
    <w:rsid w:val="00ED6987"/>
    <w:rsid w:val="00EE1756"/>
    <w:rsid w:val="00EE4365"/>
    <w:rsid w:val="00EE56B4"/>
    <w:rsid w:val="00EF0C4F"/>
    <w:rsid w:val="00EF354D"/>
    <w:rsid w:val="00F0081C"/>
    <w:rsid w:val="00F03292"/>
    <w:rsid w:val="00F05EF2"/>
    <w:rsid w:val="00F100F6"/>
    <w:rsid w:val="00F12CA0"/>
    <w:rsid w:val="00F1511E"/>
    <w:rsid w:val="00F229FA"/>
    <w:rsid w:val="00F23231"/>
    <w:rsid w:val="00F2371D"/>
    <w:rsid w:val="00F25615"/>
    <w:rsid w:val="00F31753"/>
    <w:rsid w:val="00F347F4"/>
    <w:rsid w:val="00F36B7F"/>
    <w:rsid w:val="00F37CD5"/>
    <w:rsid w:val="00F41A87"/>
    <w:rsid w:val="00F4566C"/>
    <w:rsid w:val="00F4703E"/>
    <w:rsid w:val="00F54ACA"/>
    <w:rsid w:val="00F600DF"/>
    <w:rsid w:val="00F60DAD"/>
    <w:rsid w:val="00F6333D"/>
    <w:rsid w:val="00F66160"/>
    <w:rsid w:val="00F70DBC"/>
    <w:rsid w:val="00F725AD"/>
    <w:rsid w:val="00F80470"/>
    <w:rsid w:val="00F823F2"/>
    <w:rsid w:val="00F834B3"/>
    <w:rsid w:val="00F837D5"/>
    <w:rsid w:val="00F85E2F"/>
    <w:rsid w:val="00F95509"/>
    <w:rsid w:val="00FA22CC"/>
    <w:rsid w:val="00FA5E41"/>
    <w:rsid w:val="00FB3718"/>
    <w:rsid w:val="00FB4F67"/>
    <w:rsid w:val="00FB5EAA"/>
    <w:rsid w:val="00FB73E9"/>
    <w:rsid w:val="00FB7D0C"/>
    <w:rsid w:val="00FC0765"/>
    <w:rsid w:val="00FC3332"/>
    <w:rsid w:val="00FD01D3"/>
    <w:rsid w:val="00FD0859"/>
    <w:rsid w:val="00FD5D6B"/>
    <w:rsid w:val="00FD61D1"/>
    <w:rsid w:val="00FD6F68"/>
    <w:rsid w:val="00FE05DF"/>
    <w:rsid w:val="00FE1008"/>
    <w:rsid w:val="00FE2E1B"/>
    <w:rsid w:val="00FE5E5D"/>
    <w:rsid w:val="00FE6381"/>
    <w:rsid w:val="00FF0182"/>
    <w:rsid w:val="00FF17B5"/>
    <w:rsid w:val="00FF1DBB"/>
    <w:rsid w:val="00FF2451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39"/>
    <w:rPr>
      <w:rFonts w:ascii="Arial" w:hAnsi="Arial" w:cs="Arial"/>
      <w:sz w:val="24"/>
      <w:szCs w:val="24"/>
      <w:lang w:val="fr-CA"/>
    </w:rPr>
  </w:style>
  <w:style w:type="paragraph" w:styleId="Heading1">
    <w:name w:val="heading 1"/>
    <w:basedOn w:val="Normal"/>
    <w:next w:val="Normal"/>
    <w:link w:val="Heading1Char"/>
    <w:qFormat/>
    <w:rsid w:val="008756C1"/>
    <w:pPr>
      <w:keepNext/>
      <w:keepLines/>
      <w:spacing w:before="480"/>
      <w:outlineLvl w:val="0"/>
    </w:pPr>
    <w:rPr>
      <w:rFonts w:eastAsiaTheme="majorEastAsia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50639"/>
    <w:pPr>
      <w:keepNext/>
      <w:keepLines/>
      <w:spacing w:before="20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link w:val="Heading3Char"/>
    <w:uiPriority w:val="9"/>
    <w:qFormat/>
    <w:rsid w:val="00150B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0C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0C7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857E7"/>
    <w:pPr>
      <w:tabs>
        <w:tab w:val="left" w:pos="3600"/>
        <w:tab w:val="left" w:pos="7200"/>
      </w:tabs>
      <w:suppressAutoHyphens/>
    </w:pPr>
    <w:rPr>
      <w:b/>
      <w:bCs/>
      <w:i/>
      <w:iCs/>
      <w:szCs w:val="20"/>
      <w:lang w:val="en-GB" w:eastAsia="en-US"/>
    </w:rPr>
  </w:style>
  <w:style w:type="paragraph" w:styleId="FootnoteText">
    <w:name w:val="footnote text"/>
    <w:basedOn w:val="Normal"/>
    <w:semiHidden/>
    <w:rsid w:val="00AA1DE2"/>
    <w:rPr>
      <w:sz w:val="20"/>
      <w:szCs w:val="20"/>
    </w:rPr>
  </w:style>
  <w:style w:type="character" w:styleId="FootnoteReference">
    <w:name w:val="footnote reference"/>
    <w:semiHidden/>
    <w:rsid w:val="00AA1DE2"/>
    <w:rPr>
      <w:vertAlign w:val="superscript"/>
    </w:rPr>
  </w:style>
  <w:style w:type="paragraph" w:styleId="BalloonText">
    <w:name w:val="Balloon Text"/>
    <w:basedOn w:val="Normal"/>
    <w:link w:val="BalloonTextChar"/>
    <w:rsid w:val="005B1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14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014B8"/>
    <w:rPr>
      <w:color w:val="0000FF"/>
      <w:u w:val="single"/>
    </w:rPr>
  </w:style>
  <w:style w:type="character" w:styleId="CommentReference">
    <w:name w:val="annotation reference"/>
    <w:rsid w:val="008956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5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56C7"/>
  </w:style>
  <w:style w:type="paragraph" w:styleId="CommentSubject">
    <w:name w:val="annotation subject"/>
    <w:basedOn w:val="CommentText"/>
    <w:next w:val="CommentText"/>
    <w:link w:val="CommentSubjectChar"/>
    <w:rsid w:val="008956C7"/>
    <w:rPr>
      <w:b/>
      <w:bCs/>
    </w:rPr>
  </w:style>
  <w:style w:type="character" w:customStyle="1" w:styleId="CommentSubjectChar">
    <w:name w:val="Comment Subject Char"/>
    <w:link w:val="CommentSubject"/>
    <w:rsid w:val="008956C7"/>
    <w:rPr>
      <w:b/>
      <w:bCs/>
    </w:rPr>
  </w:style>
  <w:style w:type="paragraph" w:styleId="ListParagraph">
    <w:name w:val="List Paragraph"/>
    <w:basedOn w:val="Normal"/>
    <w:uiPriority w:val="34"/>
    <w:qFormat/>
    <w:rsid w:val="00007204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A266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266F3"/>
  </w:style>
  <w:style w:type="character" w:styleId="EndnoteReference">
    <w:name w:val="endnote reference"/>
    <w:basedOn w:val="DefaultParagraphFont"/>
    <w:rsid w:val="00A266F3"/>
    <w:rPr>
      <w:vertAlign w:val="superscript"/>
    </w:rPr>
  </w:style>
  <w:style w:type="character" w:styleId="FollowedHyperlink">
    <w:name w:val="FollowedHyperlink"/>
    <w:basedOn w:val="DefaultParagraphFont"/>
    <w:rsid w:val="001B1AB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50B17"/>
    <w:rPr>
      <w:b/>
      <w:bCs/>
      <w:sz w:val="27"/>
      <w:szCs w:val="27"/>
    </w:rPr>
  </w:style>
  <w:style w:type="character" w:customStyle="1" w:styleId="HeaderChar">
    <w:name w:val="Header Char"/>
    <w:basedOn w:val="DefaultParagraphFont"/>
    <w:link w:val="Header"/>
    <w:uiPriority w:val="99"/>
    <w:rsid w:val="00B943B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B4D8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8756C1"/>
    <w:rPr>
      <w:rFonts w:ascii="Arial" w:eastAsiaTheme="majorEastAsia" w:hAnsi="Arial" w:cs="Arial"/>
      <w:bCs/>
      <w:sz w:val="40"/>
      <w:szCs w:val="40"/>
      <w:lang w:val="fr-CA"/>
    </w:rPr>
  </w:style>
  <w:style w:type="character" w:customStyle="1" w:styleId="Heading2Char">
    <w:name w:val="Heading 2 Char"/>
    <w:basedOn w:val="DefaultParagraphFont"/>
    <w:link w:val="Heading2"/>
    <w:rsid w:val="00350639"/>
    <w:rPr>
      <w:rFonts w:ascii="Arial" w:eastAsiaTheme="majorEastAsia" w:hAnsi="Arial" w:cs="Arial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C41D3"/>
    <w:pPr>
      <w:spacing w:line="276" w:lineRule="auto"/>
      <w:outlineLvl w:val="9"/>
    </w:pPr>
    <w:rPr>
      <w:rFonts w:asciiTheme="majorHAnsi" w:hAnsiTheme="majorHAnsi" w:cstheme="majorBidi"/>
      <w:b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C41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C41D3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39"/>
    <w:rPr>
      <w:rFonts w:ascii="Arial" w:hAnsi="Arial" w:cs="Arial"/>
      <w:sz w:val="24"/>
      <w:szCs w:val="24"/>
      <w:lang w:val="fr-CA"/>
    </w:rPr>
  </w:style>
  <w:style w:type="paragraph" w:styleId="Heading1">
    <w:name w:val="heading 1"/>
    <w:basedOn w:val="Normal"/>
    <w:next w:val="Normal"/>
    <w:link w:val="Heading1Char"/>
    <w:qFormat/>
    <w:rsid w:val="008756C1"/>
    <w:pPr>
      <w:keepNext/>
      <w:keepLines/>
      <w:spacing w:before="480"/>
      <w:outlineLvl w:val="0"/>
    </w:pPr>
    <w:rPr>
      <w:rFonts w:eastAsiaTheme="majorEastAsia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50639"/>
    <w:pPr>
      <w:keepNext/>
      <w:keepLines/>
      <w:spacing w:before="20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link w:val="Heading3Char"/>
    <w:uiPriority w:val="9"/>
    <w:qFormat/>
    <w:rsid w:val="00150B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0C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0C7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857E7"/>
    <w:pPr>
      <w:tabs>
        <w:tab w:val="left" w:pos="3600"/>
        <w:tab w:val="left" w:pos="7200"/>
      </w:tabs>
      <w:suppressAutoHyphens/>
    </w:pPr>
    <w:rPr>
      <w:b/>
      <w:bCs/>
      <w:i/>
      <w:iCs/>
      <w:szCs w:val="20"/>
      <w:lang w:val="en-GB" w:eastAsia="en-US"/>
    </w:rPr>
  </w:style>
  <w:style w:type="paragraph" w:styleId="FootnoteText">
    <w:name w:val="footnote text"/>
    <w:basedOn w:val="Normal"/>
    <w:semiHidden/>
    <w:rsid w:val="00AA1DE2"/>
    <w:rPr>
      <w:sz w:val="20"/>
      <w:szCs w:val="20"/>
    </w:rPr>
  </w:style>
  <w:style w:type="character" w:styleId="FootnoteReference">
    <w:name w:val="footnote reference"/>
    <w:semiHidden/>
    <w:rsid w:val="00AA1DE2"/>
    <w:rPr>
      <w:vertAlign w:val="superscript"/>
    </w:rPr>
  </w:style>
  <w:style w:type="paragraph" w:styleId="BalloonText">
    <w:name w:val="Balloon Text"/>
    <w:basedOn w:val="Normal"/>
    <w:link w:val="BalloonTextChar"/>
    <w:rsid w:val="005B1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14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014B8"/>
    <w:rPr>
      <w:color w:val="0000FF"/>
      <w:u w:val="single"/>
    </w:rPr>
  </w:style>
  <w:style w:type="character" w:styleId="CommentReference">
    <w:name w:val="annotation reference"/>
    <w:rsid w:val="008956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5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56C7"/>
  </w:style>
  <w:style w:type="paragraph" w:styleId="CommentSubject">
    <w:name w:val="annotation subject"/>
    <w:basedOn w:val="CommentText"/>
    <w:next w:val="CommentText"/>
    <w:link w:val="CommentSubjectChar"/>
    <w:rsid w:val="008956C7"/>
    <w:rPr>
      <w:b/>
      <w:bCs/>
    </w:rPr>
  </w:style>
  <w:style w:type="character" w:customStyle="1" w:styleId="CommentSubjectChar">
    <w:name w:val="Comment Subject Char"/>
    <w:link w:val="CommentSubject"/>
    <w:rsid w:val="008956C7"/>
    <w:rPr>
      <w:b/>
      <w:bCs/>
    </w:rPr>
  </w:style>
  <w:style w:type="paragraph" w:styleId="ListParagraph">
    <w:name w:val="List Paragraph"/>
    <w:basedOn w:val="Normal"/>
    <w:uiPriority w:val="34"/>
    <w:qFormat/>
    <w:rsid w:val="00007204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A266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266F3"/>
  </w:style>
  <w:style w:type="character" w:styleId="EndnoteReference">
    <w:name w:val="endnote reference"/>
    <w:basedOn w:val="DefaultParagraphFont"/>
    <w:rsid w:val="00A266F3"/>
    <w:rPr>
      <w:vertAlign w:val="superscript"/>
    </w:rPr>
  </w:style>
  <w:style w:type="character" w:styleId="FollowedHyperlink">
    <w:name w:val="FollowedHyperlink"/>
    <w:basedOn w:val="DefaultParagraphFont"/>
    <w:rsid w:val="001B1AB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50B17"/>
    <w:rPr>
      <w:b/>
      <w:bCs/>
      <w:sz w:val="27"/>
      <w:szCs w:val="27"/>
    </w:rPr>
  </w:style>
  <w:style w:type="character" w:customStyle="1" w:styleId="HeaderChar">
    <w:name w:val="Header Char"/>
    <w:basedOn w:val="DefaultParagraphFont"/>
    <w:link w:val="Header"/>
    <w:uiPriority w:val="99"/>
    <w:rsid w:val="00B943B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B4D8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8756C1"/>
    <w:rPr>
      <w:rFonts w:ascii="Arial" w:eastAsiaTheme="majorEastAsia" w:hAnsi="Arial" w:cs="Arial"/>
      <w:bCs/>
      <w:sz w:val="40"/>
      <w:szCs w:val="40"/>
      <w:lang w:val="fr-CA"/>
    </w:rPr>
  </w:style>
  <w:style w:type="character" w:customStyle="1" w:styleId="Heading2Char">
    <w:name w:val="Heading 2 Char"/>
    <w:basedOn w:val="DefaultParagraphFont"/>
    <w:link w:val="Heading2"/>
    <w:rsid w:val="00350639"/>
    <w:rPr>
      <w:rFonts w:ascii="Arial" w:eastAsiaTheme="majorEastAsia" w:hAnsi="Arial" w:cs="Arial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C41D3"/>
    <w:pPr>
      <w:spacing w:line="276" w:lineRule="auto"/>
      <w:outlineLvl w:val="9"/>
    </w:pPr>
    <w:rPr>
      <w:rFonts w:asciiTheme="majorHAnsi" w:hAnsiTheme="majorHAnsi" w:cstheme="majorBidi"/>
      <w:b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C41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C41D3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D55A-0E27-4056-BD86-414CAE91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15</Pages>
  <Words>2461</Words>
  <Characters>14941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Archives of Ontario Private Acquisitions Strategy</vt:lpstr>
      <vt:lpstr>Archives of Ontario Private Acquisitions Strategy</vt:lpstr>
    </vt:vector>
  </TitlesOfParts>
  <Company>Government of Ontario</Company>
  <LinksUpToDate>false</LinksUpToDate>
  <CharactersWithSpaces>17368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http://www.world-nuclear.org/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of Ontario Private Acquisitions Strategy</dc:title>
  <dc:creator>birrelad</dc:creator>
  <cp:lastModifiedBy>Birrell, Adam (MGCS)</cp:lastModifiedBy>
  <cp:revision>62</cp:revision>
  <cp:lastPrinted>2012-10-19T12:59:00Z</cp:lastPrinted>
  <dcterms:created xsi:type="dcterms:W3CDTF">2016-03-14T19:48:00Z</dcterms:created>
  <dcterms:modified xsi:type="dcterms:W3CDTF">2016-12-19T16:45:00Z</dcterms:modified>
</cp:coreProperties>
</file>