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43" w:rsidRPr="003E3E8A" w:rsidRDefault="00860C43" w:rsidP="00860C43">
      <w:pPr>
        <w:rPr>
          <w:lang w:val="fr-CA"/>
        </w:rPr>
      </w:pPr>
    </w:p>
    <w:p w:rsidR="00860C43" w:rsidRPr="003E3E8A" w:rsidRDefault="00860C43" w:rsidP="00860C43">
      <w:pPr>
        <w:rPr>
          <w:lang w:val="fr-CA"/>
        </w:rPr>
      </w:pPr>
    </w:p>
    <w:p w:rsidR="00860C43" w:rsidRPr="003E3E8A" w:rsidRDefault="00860C43" w:rsidP="00860C43">
      <w:pPr>
        <w:rPr>
          <w:lang w:val="fr-CA"/>
        </w:rPr>
      </w:pPr>
    </w:p>
    <w:p w:rsidR="00860C43" w:rsidRPr="008409B8" w:rsidRDefault="006A0C7D" w:rsidP="00860C43">
      <w:p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 xml:space="preserve">Stratégie d’acquisition des documents privés des </w:t>
      </w:r>
      <w:r w:rsidR="00860C43" w:rsidRPr="003E3E8A">
        <w:rPr>
          <w:rFonts w:ascii="Arial" w:hAnsi="Arial" w:cs="Arial"/>
          <w:lang w:val="fr-CA"/>
        </w:rPr>
        <w:t xml:space="preserve">Archives </w:t>
      </w:r>
      <w:r w:rsidR="00CF0D93" w:rsidRPr="003E3E8A">
        <w:rPr>
          <w:rFonts w:ascii="Arial" w:hAnsi="Arial" w:cs="Arial"/>
          <w:lang w:val="fr-CA"/>
        </w:rPr>
        <w:t xml:space="preserve">publiques </w:t>
      </w:r>
      <w:r w:rsidRPr="003E3E8A">
        <w:rPr>
          <w:rFonts w:ascii="Arial" w:hAnsi="Arial" w:cs="Arial"/>
          <w:lang w:val="fr-CA"/>
        </w:rPr>
        <w:t>de l’Ontario</w:t>
      </w:r>
    </w:p>
    <w:p w:rsidR="00860C43" w:rsidRPr="008409B8" w:rsidRDefault="006A0C7D" w:rsidP="008409B8">
      <w:pPr>
        <w:pStyle w:val="Heading1"/>
      </w:pPr>
      <w:bookmarkStart w:id="0" w:name="_Toc469918974"/>
      <w:r w:rsidRPr="008409B8">
        <w:t xml:space="preserve">Rapport d’analyse du </w:t>
      </w:r>
      <w:r w:rsidRPr="008409B8">
        <w:rPr>
          <w:b/>
        </w:rPr>
        <w:t>secteur de l’énergie</w:t>
      </w:r>
      <w:r w:rsidRPr="008409B8">
        <w:t xml:space="preserve"> e</w:t>
      </w:r>
      <w:r w:rsidR="00860C43" w:rsidRPr="008409B8">
        <w:t>n Ontario</w:t>
      </w:r>
      <w:bookmarkEnd w:id="0"/>
    </w:p>
    <w:p w:rsidR="00860C43" w:rsidRPr="003E3E8A" w:rsidRDefault="00860C43" w:rsidP="00860C43">
      <w:pPr>
        <w:jc w:val="center"/>
        <w:rPr>
          <w:lang w:val="fr-CA"/>
        </w:rPr>
      </w:pPr>
    </w:p>
    <w:p w:rsidR="00860C43" w:rsidRPr="003E3E8A" w:rsidRDefault="00860C43" w:rsidP="00860C43">
      <w:pPr>
        <w:jc w:val="center"/>
        <w:rPr>
          <w:lang w:val="fr-CA"/>
        </w:rPr>
      </w:pPr>
    </w:p>
    <w:p w:rsidR="00860C43" w:rsidRPr="003E3E8A" w:rsidRDefault="00860C43" w:rsidP="00860C43">
      <w:pPr>
        <w:rPr>
          <w:rFonts w:ascii="Arial" w:hAnsi="Arial" w:cs="Arial"/>
          <w:b/>
          <w:sz w:val="28"/>
          <w:szCs w:val="28"/>
          <w:lang w:val="fr-CA"/>
        </w:rPr>
      </w:pPr>
      <w:r w:rsidRPr="003E3E8A">
        <w:rPr>
          <w:rFonts w:ascii="Arial" w:hAnsi="Arial" w:cs="Arial"/>
          <w:b/>
          <w:sz w:val="28"/>
          <w:szCs w:val="28"/>
          <w:lang w:val="fr-CA"/>
        </w:rPr>
        <w:t>Version</w:t>
      </w:r>
      <w:r w:rsidR="006F7F2D" w:rsidRPr="003E3E8A">
        <w:rPr>
          <w:rFonts w:ascii="Arial" w:hAnsi="Arial" w:cs="Arial"/>
          <w:b/>
          <w:sz w:val="28"/>
          <w:szCs w:val="28"/>
          <w:lang w:val="fr-CA"/>
        </w:rPr>
        <w:t> </w:t>
      </w:r>
      <w:r w:rsidRPr="003E3E8A">
        <w:rPr>
          <w:rFonts w:ascii="Arial" w:hAnsi="Arial" w:cs="Arial"/>
          <w:b/>
          <w:sz w:val="28"/>
          <w:szCs w:val="28"/>
          <w:lang w:val="fr-CA"/>
        </w:rPr>
        <w:t>1</w:t>
      </w:r>
    </w:p>
    <w:p w:rsidR="00860C43" w:rsidRPr="003E3E8A" w:rsidRDefault="004B5EDC" w:rsidP="00860C43">
      <w:pPr>
        <w:rPr>
          <w:rFonts w:ascii="Arial" w:hAnsi="Arial" w:cs="Arial"/>
          <w:b/>
          <w:sz w:val="28"/>
          <w:szCs w:val="28"/>
          <w:lang w:val="fr-CA"/>
        </w:rPr>
      </w:pPr>
      <w:r w:rsidRPr="003E3E8A">
        <w:rPr>
          <w:rFonts w:ascii="Arial" w:hAnsi="Arial" w:cs="Arial"/>
          <w:b/>
          <w:sz w:val="28"/>
          <w:szCs w:val="28"/>
          <w:lang w:val="fr-CA"/>
        </w:rPr>
        <w:t>Septemb</w:t>
      </w:r>
      <w:r w:rsidR="006A0C7D" w:rsidRPr="003E3E8A">
        <w:rPr>
          <w:rFonts w:ascii="Arial" w:hAnsi="Arial" w:cs="Arial"/>
          <w:b/>
          <w:sz w:val="28"/>
          <w:szCs w:val="28"/>
          <w:lang w:val="fr-CA"/>
        </w:rPr>
        <w:t>re</w:t>
      </w:r>
      <w:r w:rsidRPr="003E3E8A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860C43" w:rsidRPr="003E3E8A">
        <w:rPr>
          <w:rFonts w:ascii="Arial" w:hAnsi="Arial" w:cs="Arial"/>
          <w:b/>
          <w:sz w:val="28"/>
          <w:szCs w:val="28"/>
          <w:lang w:val="fr-CA"/>
        </w:rPr>
        <w:t>2015</w:t>
      </w:r>
    </w:p>
    <w:p w:rsidR="006A0C7D" w:rsidRPr="003E3E8A" w:rsidRDefault="00860C43" w:rsidP="006A0C7D">
      <w:pPr>
        <w:rPr>
          <w:rFonts w:ascii="Arial" w:hAnsi="Arial" w:cs="Arial"/>
          <w:b/>
          <w:lang w:val="fr-CA"/>
        </w:rPr>
      </w:pPr>
      <w:r w:rsidRPr="003E3E8A">
        <w:rPr>
          <w:rFonts w:ascii="Arial" w:hAnsi="Arial" w:cs="Arial"/>
          <w:lang w:val="fr-CA"/>
        </w:rPr>
        <w:br w:type="page"/>
      </w:r>
    </w:p>
    <w:sdt>
      <w:sdtPr>
        <w:id w:val="-168813188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CA" w:eastAsia="en-CA"/>
        </w:rPr>
      </w:sdtEndPr>
      <w:sdtContent>
        <w:p w:rsidR="00587318" w:rsidRDefault="00587318">
          <w:pPr>
            <w:pStyle w:val="TOCHeading"/>
          </w:pPr>
        </w:p>
        <w:p w:rsidR="00587318" w:rsidRPr="00587318" w:rsidRDefault="00587318" w:rsidP="00587318">
          <w:pPr>
            <w:pStyle w:val="Heading2"/>
            <w:rPr>
              <w:noProof/>
            </w:rPr>
          </w:pPr>
          <w:r w:rsidRPr="003E3E8A">
            <w:t>Table des matières</w:t>
          </w:r>
          <w:r>
            <w:t xml:space="preserve"> 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9918974" w:history="1"/>
        </w:p>
        <w:p w:rsidR="00587318" w:rsidRPr="00587318" w:rsidRDefault="00587318">
          <w:pPr>
            <w:pStyle w:val="TOC1"/>
            <w:tabs>
              <w:tab w:val="right" w:leader="dot" w:pos="8636"/>
            </w:tabs>
            <w:rPr>
              <w:rFonts w:ascii="Arial" w:hAnsi="Arial" w:cs="Arial"/>
              <w:noProof/>
            </w:rPr>
          </w:pPr>
          <w:hyperlink w:anchor="_Toc469918975" w:history="1">
            <w:r w:rsidRPr="00587318">
              <w:rPr>
                <w:rStyle w:val="Hyperlink"/>
                <w:rFonts w:ascii="Arial" w:hAnsi="Arial" w:cs="Arial"/>
                <w:noProof/>
              </w:rPr>
              <w:t>1. Objet</w:t>
            </w:r>
            <w:r w:rsidRPr="00587318">
              <w:rPr>
                <w:rFonts w:ascii="Arial" w:hAnsi="Arial" w:cs="Arial"/>
                <w:noProof/>
                <w:webHidden/>
              </w:rPr>
              <w:tab/>
            </w:r>
            <w:r w:rsidRPr="0058731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87318">
              <w:rPr>
                <w:rFonts w:ascii="Arial" w:hAnsi="Arial" w:cs="Arial"/>
                <w:noProof/>
                <w:webHidden/>
              </w:rPr>
              <w:instrText xml:space="preserve"> PAGEREF _Toc469918975 \h </w:instrText>
            </w:r>
            <w:r w:rsidRPr="00587318">
              <w:rPr>
                <w:rFonts w:ascii="Arial" w:hAnsi="Arial" w:cs="Arial"/>
                <w:noProof/>
                <w:webHidden/>
              </w:rPr>
            </w:r>
            <w:r w:rsidRPr="0058731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87318">
              <w:rPr>
                <w:rFonts w:ascii="Arial" w:hAnsi="Arial" w:cs="Arial"/>
                <w:noProof/>
                <w:webHidden/>
              </w:rPr>
              <w:t>3</w:t>
            </w:r>
            <w:r w:rsidRPr="005873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87318" w:rsidRPr="00587318" w:rsidRDefault="00587318">
          <w:pPr>
            <w:pStyle w:val="TOC1"/>
            <w:tabs>
              <w:tab w:val="right" w:leader="dot" w:pos="8636"/>
            </w:tabs>
            <w:rPr>
              <w:rFonts w:ascii="Arial" w:hAnsi="Arial" w:cs="Arial"/>
              <w:noProof/>
            </w:rPr>
          </w:pPr>
          <w:hyperlink w:anchor="_Toc469918976" w:history="1">
            <w:r w:rsidRPr="00587318">
              <w:rPr>
                <w:rStyle w:val="Hyperlink"/>
                <w:rFonts w:ascii="Arial" w:hAnsi="Arial" w:cs="Arial"/>
                <w:noProof/>
              </w:rPr>
              <w:t>2. Aperçu du secteur de l’énergie en Ontario</w:t>
            </w:r>
            <w:r w:rsidRPr="00587318">
              <w:rPr>
                <w:rFonts w:ascii="Arial" w:hAnsi="Arial" w:cs="Arial"/>
                <w:noProof/>
                <w:webHidden/>
              </w:rPr>
              <w:tab/>
            </w:r>
            <w:r w:rsidRPr="0058731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87318">
              <w:rPr>
                <w:rFonts w:ascii="Arial" w:hAnsi="Arial" w:cs="Arial"/>
                <w:noProof/>
                <w:webHidden/>
              </w:rPr>
              <w:instrText xml:space="preserve"> PAGEREF _Toc469918976 \h </w:instrText>
            </w:r>
            <w:r w:rsidRPr="00587318">
              <w:rPr>
                <w:rFonts w:ascii="Arial" w:hAnsi="Arial" w:cs="Arial"/>
                <w:noProof/>
                <w:webHidden/>
              </w:rPr>
            </w:r>
            <w:r w:rsidRPr="0058731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87318">
              <w:rPr>
                <w:rFonts w:ascii="Arial" w:hAnsi="Arial" w:cs="Arial"/>
                <w:noProof/>
                <w:webHidden/>
              </w:rPr>
              <w:t>3</w:t>
            </w:r>
            <w:r w:rsidRPr="005873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87318" w:rsidRPr="00587318" w:rsidRDefault="00587318">
          <w:pPr>
            <w:pStyle w:val="TOC1"/>
            <w:tabs>
              <w:tab w:val="right" w:leader="dot" w:pos="8636"/>
            </w:tabs>
            <w:rPr>
              <w:rFonts w:ascii="Arial" w:hAnsi="Arial" w:cs="Arial"/>
              <w:noProof/>
            </w:rPr>
          </w:pPr>
          <w:hyperlink w:anchor="_Toc469918977" w:history="1">
            <w:r w:rsidRPr="00587318">
              <w:rPr>
                <w:rStyle w:val="Hyperlink"/>
                <w:rFonts w:ascii="Arial" w:hAnsi="Arial" w:cs="Arial"/>
                <w:noProof/>
              </w:rPr>
              <w:t>3. Analyse des collections des Archives publiques de l’Ontario</w:t>
            </w:r>
            <w:r w:rsidRPr="00587318">
              <w:rPr>
                <w:rFonts w:ascii="Arial" w:hAnsi="Arial" w:cs="Arial"/>
                <w:noProof/>
                <w:webHidden/>
              </w:rPr>
              <w:tab/>
            </w:r>
            <w:r w:rsidRPr="0058731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87318">
              <w:rPr>
                <w:rFonts w:ascii="Arial" w:hAnsi="Arial" w:cs="Arial"/>
                <w:noProof/>
                <w:webHidden/>
              </w:rPr>
              <w:instrText xml:space="preserve"> PAGEREF _Toc469918977 \h </w:instrText>
            </w:r>
            <w:r w:rsidRPr="00587318">
              <w:rPr>
                <w:rFonts w:ascii="Arial" w:hAnsi="Arial" w:cs="Arial"/>
                <w:noProof/>
                <w:webHidden/>
              </w:rPr>
            </w:r>
            <w:r w:rsidRPr="0058731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87318">
              <w:rPr>
                <w:rFonts w:ascii="Arial" w:hAnsi="Arial" w:cs="Arial"/>
                <w:noProof/>
                <w:webHidden/>
              </w:rPr>
              <w:t>5</w:t>
            </w:r>
            <w:r w:rsidRPr="005873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87318" w:rsidRPr="00587318" w:rsidRDefault="00587318">
          <w:pPr>
            <w:pStyle w:val="TOC1"/>
            <w:tabs>
              <w:tab w:val="right" w:leader="dot" w:pos="8636"/>
            </w:tabs>
            <w:rPr>
              <w:rFonts w:ascii="Arial" w:hAnsi="Arial" w:cs="Arial"/>
              <w:noProof/>
            </w:rPr>
          </w:pPr>
          <w:hyperlink w:anchor="_Toc469918978" w:history="1">
            <w:r w:rsidRPr="00587318">
              <w:rPr>
                <w:rStyle w:val="Hyperlink"/>
                <w:rFonts w:ascii="Arial" w:hAnsi="Arial" w:cs="Arial"/>
                <w:noProof/>
              </w:rPr>
              <w:t>4. Méthode d’analyse du secteur de l’énergie</w:t>
            </w:r>
            <w:r w:rsidRPr="00587318">
              <w:rPr>
                <w:rFonts w:ascii="Arial" w:hAnsi="Arial" w:cs="Arial"/>
                <w:noProof/>
                <w:webHidden/>
              </w:rPr>
              <w:tab/>
            </w:r>
            <w:r w:rsidRPr="0058731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87318">
              <w:rPr>
                <w:rFonts w:ascii="Arial" w:hAnsi="Arial" w:cs="Arial"/>
                <w:noProof/>
                <w:webHidden/>
              </w:rPr>
              <w:instrText xml:space="preserve"> PAGEREF _Toc469918978 \h </w:instrText>
            </w:r>
            <w:r w:rsidRPr="00587318">
              <w:rPr>
                <w:rFonts w:ascii="Arial" w:hAnsi="Arial" w:cs="Arial"/>
                <w:noProof/>
                <w:webHidden/>
              </w:rPr>
            </w:r>
            <w:r w:rsidRPr="0058731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87318">
              <w:rPr>
                <w:rFonts w:ascii="Arial" w:hAnsi="Arial" w:cs="Arial"/>
                <w:noProof/>
                <w:webHidden/>
              </w:rPr>
              <w:t>6</w:t>
            </w:r>
            <w:r w:rsidRPr="005873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87318" w:rsidRPr="00587318" w:rsidRDefault="00587318">
          <w:pPr>
            <w:pStyle w:val="TOC2"/>
            <w:tabs>
              <w:tab w:val="right" w:leader="dot" w:pos="8636"/>
            </w:tabs>
            <w:rPr>
              <w:rFonts w:ascii="Arial" w:hAnsi="Arial" w:cs="Arial"/>
              <w:noProof/>
            </w:rPr>
          </w:pPr>
          <w:hyperlink w:anchor="_Toc469918979" w:history="1">
            <w:r w:rsidRPr="00587318">
              <w:rPr>
                <w:rStyle w:val="Hyperlink"/>
                <w:rFonts w:ascii="Arial" w:hAnsi="Arial" w:cs="Arial"/>
                <w:noProof/>
              </w:rPr>
              <w:t>Identification des sous-secteurs</w:t>
            </w:r>
            <w:r w:rsidRPr="00587318">
              <w:rPr>
                <w:rFonts w:ascii="Arial" w:hAnsi="Arial" w:cs="Arial"/>
                <w:noProof/>
                <w:webHidden/>
              </w:rPr>
              <w:tab/>
            </w:r>
            <w:r w:rsidRPr="0058731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87318">
              <w:rPr>
                <w:rFonts w:ascii="Arial" w:hAnsi="Arial" w:cs="Arial"/>
                <w:noProof/>
                <w:webHidden/>
              </w:rPr>
              <w:instrText xml:space="preserve"> PAGEREF _Toc469918979 \h </w:instrText>
            </w:r>
            <w:r w:rsidRPr="00587318">
              <w:rPr>
                <w:rFonts w:ascii="Arial" w:hAnsi="Arial" w:cs="Arial"/>
                <w:noProof/>
                <w:webHidden/>
              </w:rPr>
            </w:r>
            <w:r w:rsidRPr="0058731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87318">
              <w:rPr>
                <w:rFonts w:ascii="Arial" w:hAnsi="Arial" w:cs="Arial"/>
                <w:noProof/>
                <w:webHidden/>
              </w:rPr>
              <w:t>6</w:t>
            </w:r>
            <w:r w:rsidRPr="005873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87318" w:rsidRPr="00587318" w:rsidRDefault="00587318">
          <w:pPr>
            <w:pStyle w:val="TOC2"/>
            <w:tabs>
              <w:tab w:val="right" w:leader="dot" w:pos="8636"/>
            </w:tabs>
            <w:rPr>
              <w:rFonts w:ascii="Arial" w:hAnsi="Arial" w:cs="Arial"/>
              <w:noProof/>
            </w:rPr>
          </w:pPr>
          <w:hyperlink w:anchor="_Toc469918980" w:history="1">
            <w:r w:rsidRPr="00587318">
              <w:rPr>
                <w:rStyle w:val="Hyperlink"/>
                <w:rFonts w:ascii="Arial" w:hAnsi="Arial" w:cs="Arial"/>
                <w:noProof/>
                <w:lang w:val="fr-CA"/>
              </w:rPr>
              <w:t>Exclusions et limites</w:t>
            </w:r>
            <w:r w:rsidRPr="00587318">
              <w:rPr>
                <w:rFonts w:ascii="Arial" w:hAnsi="Arial" w:cs="Arial"/>
                <w:noProof/>
                <w:webHidden/>
              </w:rPr>
              <w:tab/>
            </w:r>
            <w:r w:rsidRPr="0058731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87318">
              <w:rPr>
                <w:rFonts w:ascii="Arial" w:hAnsi="Arial" w:cs="Arial"/>
                <w:noProof/>
                <w:webHidden/>
              </w:rPr>
              <w:instrText xml:space="preserve"> PAGEREF _Toc469918980 \h </w:instrText>
            </w:r>
            <w:r w:rsidRPr="00587318">
              <w:rPr>
                <w:rFonts w:ascii="Arial" w:hAnsi="Arial" w:cs="Arial"/>
                <w:noProof/>
                <w:webHidden/>
              </w:rPr>
            </w:r>
            <w:r w:rsidRPr="0058731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87318">
              <w:rPr>
                <w:rFonts w:ascii="Arial" w:hAnsi="Arial" w:cs="Arial"/>
                <w:noProof/>
                <w:webHidden/>
              </w:rPr>
              <w:t>6</w:t>
            </w:r>
            <w:r w:rsidRPr="005873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87318" w:rsidRPr="00587318" w:rsidRDefault="00587318">
          <w:pPr>
            <w:pStyle w:val="TOC1"/>
            <w:tabs>
              <w:tab w:val="right" w:leader="dot" w:pos="8636"/>
            </w:tabs>
            <w:rPr>
              <w:rFonts w:ascii="Arial" w:hAnsi="Arial" w:cs="Arial"/>
              <w:noProof/>
            </w:rPr>
          </w:pPr>
          <w:hyperlink w:anchor="_Toc469918981" w:history="1">
            <w:r w:rsidRPr="00587318">
              <w:rPr>
                <w:rStyle w:val="Hyperlink"/>
                <w:rFonts w:ascii="Arial" w:hAnsi="Arial" w:cs="Arial"/>
                <w:noProof/>
              </w:rPr>
              <w:t>5. Analyse des sous-secteurs de l’énergie</w:t>
            </w:r>
            <w:r w:rsidRPr="00587318">
              <w:rPr>
                <w:rFonts w:ascii="Arial" w:hAnsi="Arial" w:cs="Arial"/>
                <w:noProof/>
                <w:webHidden/>
              </w:rPr>
              <w:tab/>
            </w:r>
            <w:r w:rsidRPr="0058731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87318">
              <w:rPr>
                <w:rFonts w:ascii="Arial" w:hAnsi="Arial" w:cs="Arial"/>
                <w:noProof/>
                <w:webHidden/>
              </w:rPr>
              <w:instrText xml:space="preserve"> PAGEREF _Toc469918981 \h </w:instrText>
            </w:r>
            <w:r w:rsidRPr="00587318">
              <w:rPr>
                <w:rFonts w:ascii="Arial" w:hAnsi="Arial" w:cs="Arial"/>
                <w:noProof/>
                <w:webHidden/>
              </w:rPr>
            </w:r>
            <w:r w:rsidRPr="0058731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87318">
              <w:rPr>
                <w:rFonts w:ascii="Arial" w:hAnsi="Arial" w:cs="Arial"/>
                <w:noProof/>
                <w:webHidden/>
              </w:rPr>
              <w:t>6</w:t>
            </w:r>
            <w:r w:rsidRPr="005873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87318" w:rsidRPr="00587318" w:rsidRDefault="00587318">
          <w:pPr>
            <w:pStyle w:val="TOC2"/>
            <w:tabs>
              <w:tab w:val="right" w:leader="dot" w:pos="8636"/>
            </w:tabs>
            <w:rPr>
              <w:rFonts w:ascii="Arial" w:hAnsi="Arial" w:cs="Arial"/>
              <w:noProof/>
            </w:rPr>
          </w:pPr>
          <w:hyperlink w:anchor="_Toc469918982" w:history="1">
            <w:r w:rsidRPr="00587318">
              <w:rPr>
                <w:rStyle w:val="Hyperlink"/>
                <w:rFonts w:ascii="Arial" w:hAnsi="Arial" w:cs="Arial"/>
                <w:noProof/>
                <w:lang w:val="fr-CA"/>
              </w:rPr>
              <w:t>Sous-secteurs du secteur de l’énergie:</w:t>
            </w:r>
            <w:r w:rsidRPr="00587318">
              <w:rPr>
                <w:rFonts w:ascii="Arial" w:hAnsi="Arial" w:cs="Arial"/>
                <w:noProof/>
                <w:webHidden/>
              </w:rPr>
              <w:tab/>
            </w:r>
            <w:r w:rsidRPr="0058731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87318">
              <w:rPr>
                <w:rFonts w:ascii="Arial" w:hAnsi="Arial" w:cs="Arial"/>
                <w:noProof/>
                <w:webHidden/>
              </w:rPr>
              <w:instrText xml:space="preserve"> PAGEREF _Toc469918982 \h </w:instrText>
            </w:r>
            <w:r w:rsidRPr="00587318">
              <w:rPr>
                <w:rFonts w:ascii="Arial" w:hAnsi="Arial" w:cs="Arial"/>
                <w:noProof/>
                <w:webHidden/>
              </w:rPr>
            </w:r>
            <w:r w:rsidRPr="0058731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87318">
              <w:rPr>
                <w:rFonts w:ascii="Arial" w:hAnsi="Arial" w:cs="Arial"/>
                <w:noProof/>
                <w:webHidden/>
              </w:rPr>
              <w:t>7</w:t>
            </w:r>
            <w:r w:rsidRPr="005873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87318" w:rsidRPr="00587318" w:rsidRDefault="00587318">
          <w:pPr>
            <w:pStyle w:val="TOC2"/>
            <w:tabs>
              <w:tab w:val="right" w:leader="dot" w:pos="8636"/>
            </w:tabs>
            <w:rPr>
              <w:rFonts w:ascii="Arial" w:hAnsi="Arial" w:cs="Arial"/>
              <w:noProof/>
            </w:rPr>
          </w:pPr>
          <w:hyperlink w:anchor="_Toc469918983" w:history="1">
            <w:r w:rsidRPr="00587318">
              <w:rPr>
                <w:rStyle w:val="Hyperlink"/>
                <w:rFonts w:ascii="Arial" w:hAnsi="Arial" w:cs="Arial"/>
                <w:noProof/>
                <w:lang w:val="fr-CA"/>
              </w:rPr>
              <w:t>Liens fonctionnels du gouvernement</w:t>
            </w:r>
            <w:r w:rsidRPr="00587318">
              <w:rPr>
                <w:rFonts w:ascii="Arial" w:hAnsi="Arial" w:cs="Arial"/>
                <w:noProof/>
                <w:webHidden/>
              </w:rPr>
              <w:tab/>
            </w:r>
            <w:r w:rsidRPr="0058731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87318">
              <w:rPr>
                <w:rFonts w:ascii="Arial" w:hAnsi="Arial" w:cs="Arial"/>
                <w:noProof/>
                <w:webHidden/>
              </w:rPr>
              <w:instrText xml:space="preserve"> PAGEREF _Toc469918983 \h </w:instrText>
            </w:r>
            <w:r w:rsidRPr="00587318">
              <w:rPr>
                <w:rFonts w:ascii="Arial" w:hAnsi="Arial" w:cs="Arial"/>
                <w:noProof/>
                <w:webHidden/>
              </w:rPr>
            </w:r>
            <w:r w:rsidRPr="0058731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87318">
              <w:rPr>
                <w:rFonts w:ascii="Arial" w:hAnsi="Arial" w:cs="Arial"/>
                <w:noProof/>
                <w:webHidden/>
              </w:rPr>
              <w:t>7</w:t>
            </w:r>
            <w:r w:rsidRPr="005873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87318" w:rsidRDefault="00587318">
          <w:pPr>
            <w:pStyle w:val="TOC1"/>
            <w:tabs>
              <w:tab w:val="right" w:leader="dot" w:pos="8636"/>
            </w:tabs>
            <w:rPr>
              <w:noProof/>
            </w:rPr>
          </w:pPr>
          <w:hyperlink w:anchor="_Toc469918984" w:history="1">
            <w:r w:rsidRPr="00587318">
              <w:rPr>
                <w:rStyle w:val="Hyperlink"/>
                <w:rFonts w:ascii="Arial" w:hAnsi="Arial" w:cs="Arial"/>
                <w:noProof/>
              </w:rPr>
              <w:t>Annexe A : Analyse des sous-secteurs de l’énergie</w:t>
            </w:r>
            <w:r w:rsidRPr="00587318">
              <w:rPr>
                <w:rFonts w:ascii="Arial" w:hAnsi="Arial" w:cs="Arial"/>
                <w:noProof/>
                <w:webHidden/>
              </w:rPr>
              <w:tab/>
            </w:r>
            <w:r w:rsidRPr="0058731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87318">
              <w:rPr>
                <w:rFonts w:ascii="Arial" w:hAnsi="Arial" w:cs="Arial"/>
                <w:noProof/>
                <w:webHidden/>
              </w:rPr>
              <w:instrText xml:space="preserve"> PAGEREF _Toc469918984 \h </w:instrText>
            </w:r>
            <w:r w:rsidRPr="00587318">
              <w:rPr>
                <w:rFonts w:ascii="Arial" w:hAnsi="Arial" w:cs="Arial"/>
                <w:noProof/>
                <w:webHidden/>
              </w:rPr>
            </w:r>
            <w:r w:rsidRPr="00587318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587318">
              <w:rPr>
                <w:rFonts w:ascii="Arial" w:hAnsi="Arial" w:cs="Arial"/>
                <w:noProof/>
                <w:webHidden/>
              </w:rPr>
              <w:t>8</w:t>
            </w:r>
            <w:r w:rsidRPr="005873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87318" w:rsidRDefault="00587318" w:rsidP="00587318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860C43" w:rsidRPr="008409B8" w:rsidRDefault="00860C43" w:rsidP="00587318">
      <w:pPr>
        <w:pStyle w:val="Heading1"/>
      </w:pPr>
      <w:r w:rsidRPr="003E3E8A">
        <w:br w:type="page"/>
      </w:r>
      <w:bookmarkStart w:id="1" w:name="_Toc469918975"/>
      <w:r w:rsidRPr="008409B8">
        <w:lastRenderedPageBreak/>
        <w:t xml:space="preserve">1. </w:t>
      </w:r>
      <w:r w:rsidR="006A0C7D" w:rsidRPr="008409B8">
        <w:t>Objet</w:t>
      </w:r>
      <w:bookmarkEnd w:id="1"/>
    </w:p>
    <w:p w:rsidR="00860C43" w:rsidRPr="003E3E8A" w:rsidRDefault="0071351E" w:rsidP="00860C43">
      <w:p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Le présent</w:t>
      </w:r>
      <w:r w:rsidR="006A0C7D" w:rsidRPr="003E3E8A">
        <w:rPr>
          <w:rFonts w:ascii="Arial" w:hAnsi="Arial" w:cs="Arial"/>
          <w:lang w:val="fr-CA"/>
        </w:rPr>
        <w:t xml:space="preserve"> rapport vise à appliquer les recommandations clés de la Stratégie d’acquisition des documents privés des Archives publiques de l’Ontario en examinant les principaux secteurs de l’Ontario. Il met au premier plan les sous-secteurs ou les domaines du secteur privé de l’énergie qui sont plus propices à produire des documents d’intérêt provincial</w:t>
      </w:r>
      <w:r w:rsidR="00860C43" w:rsidRPr="003E3E8A">
        <w:rPr>
          <w:rFonts w:ascii="Arial" w:hAnsi="Arial" w:cs="Arial"/>
          <w:lang w:val="fr-CA"/>
        </w:rPr>
        <w:t xml:space="preserve">. </w:t>
      </w:r>
    </w:p>
    <w:p w:rsidR="00860C43" w:rsidRPr="003E3E8A" w:rsidRDefault="00860C43" w:rsidP="00860C43">
      <w:pPr>
        <w:rPr>
          <w:rFonts w:ascii="Arial" w:hAnsi="Arial" w:cs="Arial"/>
          <w:lang w:val="fr-CA"/>
        </w:rPr>
      </w:pPr>
    </w:p>
    <w:p w:rsidR="0084448F" w:rsidRPr="003E3E8A" w:rsidRDefault="00751884" w:rsidP="0084448F">
      <w:p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Au total, le secteur de 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électricité de 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 xml:space="preserve">Ontario est une industrie de 15 milliards </w:t>
      </w:r>
      <w:r w:rsidR="001161A1" w:rsidRPr="003E3E8A">
        <w:rPr>
          <w:rFonts w:ascii="Arial" w:hAnsi="Arial" w:cs="Arial"/>
          <w:lang w:val="fr-CA"/>
        </w:rPr>
        <w:t>de dollars par année</w:t>
      </w:r>
      <w:r w:rsidRPr="003E3E8A">
        <w:rPr>
          <w:rFonts w:ascii="Arial" w:hAnsi="Arial" w:cs="Arial"/>
          <w:lang w:val="fr-CA"/>
        </w:rPr>
        <w:t xml:space="preserve"> qui </w:t>
      </w:r>
      <w:r w:rsidR="001161A1" w:rsidRPr="003E3E8A">
        <w:rPr>
          <w:rFonts w:ascii="Arial" w:hAnsi="Arial" w:cs="Arial"/>
          <w:lang w:val="fr-CA"/>
        </w:rPr>
        <w:t>met à contribution tant le</w:t>
      </w:r>
      <w:r w:rsidRPr="003E3E8A">
        <w:rPr>
          <w:rFonts w:ascii="Arial" w:hAnsi="Arial" w:cs="Arial"/>
          <w:lang w:val="fr-CA"/>
        </w:rPr>
        <w:t xml:space="preserve"> secteur public et </w:t>
      </w:r>
      <w:r w:rsidR="001161A1" w:rsidRPr="003E3E8A">
        <w:rPr>
          <w:rFonts w:ascii="Arial" w:hAnsi="Arial" w:cs="Arial"/>
          <w:lang w:val="fr-CA"/>
        </w:rPr>
        <w:t xml:space="preserve">que le secteur </w:t>
      </w:r>
      <w:r w:rsidRPr="003E3E8A">
        <w:rPr>
          <w:rFonts w:ascii="Arial" w:hAnsi="Arial" w:cs="Arial"/>
          <w:lang w:val="fr-CA"/>
        </w:rPr>
        <w:t xml:space="preserve">privé et </w:t>
      </w:r>
      <w:r w:rsidR="0071351E" w:rsidRPr="003E3E8A">
        <w:rPr>
          <w:rFonts w:ascii="Arial" w:hAnsi="Arial" w:cs="Arial"/>
          <w:lang w:val="fr-CA"/>
        </w:rPr>
        <w:t xml:space="preserve">qui </w:t>
      </w:r>
      <w:r w:rsidRPr="003E3E8A">
        <w:rPr>
          <w:rFonts w:ascii="Arial" w:hAnsi="Arial" w:cs="Arial"/>
          <w:lang w:val="fr-CA"/>
        </w:rPr>
        <w:t>emploie directement et indirectement quelque 95</w:t>
      </w:r>
      <w:r w:rsidR="00DA5BAD" w:rsidRPr="003E3E8A">
        <w:rPr>
          <w:rFonts w:ascii="Arial" w:hAnsi="Arial" w:cs="Arial"/>
          <w:lang w:val="fr-CA"/>
        </w:rPr>
        <w:t> </w:t>
      </w:r>
      <w:r w:rsidRPr="003E3E8A">
        <w:rPr>
          <w:rFonts w:ascii="Arial" w:hAnsi="Arial" w:cs="Arial"/>
          <w:lang w:val="fr-CA"/>
        </w:rPr>
        <w:t>000 Ontariens.</w:t>
      </w:r>
      <w:r w:rsidR="00DA5BAD" w:rsidRPr="003E3E8A">
        <w:rPr>
          <w:rFonts w:ascii="Arial" w:hAnsi="Arial" w:cs="Arial"/>
          <w:lang w:val="fr-CA"/>
        </w:rPr>
        <w:t xml:space="preserve"> </w:t>
      </w:r>
      <w:r w:rsidRPr="003E3E8A">
        <w:rPr>
          <w:rFonts w:ascii="Arial" w:hAnsi="Arial" w:cs="Arial"/>
          <w:lang w:val="fr-CA"/>
        </w:rPr>
        <w:t xml:space="preserve">Les investissements annuels </w:t>
      </w:r>
      <w:r w:rsidR="0071351E" w:rsidRPr="003E3E8A">
        <w:rPr>
          <w:rFonts w:ascii="Arial" w:hAnsi="Arial" w:cs="Arial"/>
          <w:lang w:val="fr-CA"/>
        </w:rPr>
        <w:t>de source</w:t>
      </w:r>
      <w:bookmarkStart w:id="2" w:name="_GoBack"/>
      <w:bookmarkEnd w:id="2"/>
      <w:r w:rsidR="0071351E" w:rsidRPr="003E3E8A">
        <w:rPr>
          <w:rFonts w:ascii="Arial" w:hAnsi="Arial" w:cs="Arial"/>
          <w:lang w:val="fr-CA"/>
        </w:rPr>
        <w:t>s privées dans l’</w:t>
      </w:r>
      <w:r w:rsidRPr="003E3E8A">
        <w:rPr>
          <w:rFonts w:ascii="Arial" w:hAnsi="Arial" w:cs="Arial"/>
          <w:lang w:val="fr-CA"/>
        </w:rPr>
        <w:t xml:space="preserve">électricité en Ontario </w:t>
      </w:r>
      <w:r w:rsidR="00121E3C" w:rsidRPr="003E3E8A">
        <w:rPr>
          <w:rFonts w:ascii="Arial" w:hAnsi="Arial" w:cs="Arial"/>
          <w:lang w:val="fr-CA"/>
        </w:rPr>
        <w:t>représentent</w:t>
      </w:r>
      <w:r w:rsidRPr="003E3E8A">
        <w:rPr>
          <w:rFonts w:ascii="Arial" w:hAnsi="Arial" w:cs="Arial"/>
          <w:lang w:val="fr-CA"/>
        </w:rPr>
        <w:t xml:space="preserve"> également des milliards de dollars.</w:t>
      </w:r>
      <w:r w:rsidR="00121E3C" w:rsidRPr="003E3E8A">
        <w:rPr>
          <w:rFonts w:ascii="Arial" w:hAnsi="Arial" w:cs="Arial"/>
          <w:lang w:val="fr-CA"/>
        </w:rPr>
        <w:t xml:space="preserve"> </w:t>
      </w:r>
      <w:r w:rsidRPr="003E3E8A">
        <w:rPr>
          <w:rFonts w:ascii="Arial" w:hAnsi="Arial" w:cs="Arial"/>
          <w:lang w:val="fr-CA"/>
        </w:rPr>
        <w:t>La production d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 xml:space="preserve">électricité en Ontario est une réalité bien visible pour presque tous les </w:t>
      </w:r>
      <w:r w:rsidR="00F21AA5" w:rsidRPr="003E3E8A">
        <w:rPr>
          <w:rFonts w:ascii="Arial" w:hAnsi="Arial" w:cs="Arial"/>
          <w:lang w:val="fr-CA"/>
        </w:rPr>
        <w:t>citoyens de l’Ontario</w:t>
      </w:r>
      <w:r w:rsidRPr="003E3E8A">
        <w:rPr>
          <w:rFonts w:ascii="Arial" w:hAnsi="Arial" w:cs="Arial"/>
          <w:lang w:val="fr-CA"/>
        </w:rPr>
        <w:t>, et le secteur de 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 xml:space="preserve">énergie </w:t>
      </w:r>
      <w:r w:rsidR="00716A44" w:rsidRPr="003E3E8A">
        <w:rPr>
          <w:rFonts w:ascii="Arial" w:hAnsi="Arial" w:cs="Arial"/>
          <w:lang w:val="fr-CA"/>
        </w:rPr>
        <w:t>a un</w:t>
      </w:r>
      <w:r w:rsidR="00F21AA5" w:rsidRPr="003E3E8A">
        <w:rPr>
          <w:rFonts w:ascii="Arial" w:hAnsi="Arial" w:cs="Arial"/>
          <w:lang w:val="fr-CA"/>
        </w:rPr>
        <w:t>e incidence</w:t>
      </w:r>
      <w:r w:rsidR="00716A44" w:rsidRPr="003E3E8A">
        <w:rPr>
          <w:rFonts w:ascii="Arial" w:hAnsi="Arial" w:cs="Arial"/>
          <w:lang w:val="fr-CA"/>
        </w:rPr>
        <w:t xml:space="preserve"> quotidien</w:t>
      </w:r>
      <w:r w:rsidR="00F21AA5" w:rsidRPr="003E3E8A">
        <w:rPr>
          <w:rFonts w:ascii="Arial" w:hAnsi="Arial" w:cs="Arial"/>
          <w:lang w:val="fr-CA"/>
        </w:rPr>
        <w:t>ne</w:t>
      </w:r>
      <w:r w:rsidR="00716A44" w:rsidRPr="003E3E8A">
        <w:rPr>
          <w:rFonts w:ascii="Arial" w:hAnsi="Arial" w:cs="Arial"/>
          <w:lang w:val="fr-CA"/>
        </w:rPr>
        <w:t xml:space="preserve"> sur leur qualité de vie et </w:t>
      </w:r>
      <w:r w:rsidR="00121E3C" w:rsidRPr="003E3E8A">
        <w:rPr>
          <w:rFonts w:ascii="Arial" w:hAnsi="Arial" w:cs="Arial"/>
          <w:lang w:val="fr-CA"/>
        </w:rPr>
        <w:t>leur</w:t>
      </w:r>
      <w:r w:rsidR="00716A44" w:rsidRPr="003E3E8A">
        <w:rPr>
          <w:rFonts w:ascii="Arial" w:hAnsi="Arial" w:cs="Arial"/>
          <w:lang w:val="fr-CA"/>
        </w:rPr>
        <w:t xml:space="preserve"> capacité de fonctionner dans une société moderne</w:t>
      </w:r>
      <w:r w:rsidR="00F21AA5" w:rsidRPr="003E3E8A">
        <w:rPr>
          <w:rFonts w:ascii="Arial" w:hAnsi="Arial" w:cs="Arial"/>
          <w:lang w:val="fr-CA"/>
        </w:rPr>
        <w:t>.</w:t>
      </w:r>
    </w:p>
    <w:p w:rsidR="00860C43" w:rsidRPr="003E3E8A" w:rsidRDefault="00860C43" w:rsidP="00860C43">
      <w:pPr>
        <w:rPr>
          <w:rFonts w:ascii="Arial" w:hAnsi="Arial" w:cs="Arial"/>
          <w:lang w:val="fr-CA"/>
        </w:rPr>
      </w:pPr>
    </w:p>
    <w:p w:rsidR="00073F8C" w:rsidRPr="008409B8" w:rsidRDefault="006A0C7D" w:rsidP="00860C43">
      <w:p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 xml:space="preserve">L’identification et l’évaluation des activités du secteur de l’énergie guideront et appuieront la politique d’acquisition des documents privés du secteur de l’énergie dans la </w:t>
      </w:r>
      <w:r w:rsidRPr="003E3E8A">
        <w:rPr>
          <w:rFonts w:ascii="Arial" w:hAnsi="Arial" w:cs="Arial"/>
          <w:i/>
          <w:iCs/>
          <w:lang w:val="fr-CA"/>
        </w:rPr>
        <w:t>Stratégie d’acquisition des documents privés des Archives publiques de l’Ontario</w:t>
      </w:r>
      <w:r w:rsidR="00860C43" w:rsidRPr="003E3E8A">
        <w:rPr>
          <w:rFonts w:ascii="Arial" w:hAnsi="Arial" w:cs="Arial"/>
          <w:lang w:val="fr-CA"/>
        </w:rPr>
        <w:t>.</w:t>
      </w:r>
      <w:r w:rsidR="002F21AA">
        <w:rPr>
          <w:rFonts w:ascii="Arial" w:hAnsi="Arial" w:cs="Arial"/>
          <w:lang w:val="fr-CA"/>
        </w:rPr>
        <w:t xml:space="preserve"> </w:t>
      </w:r>
    </w:p>
    <w:p w:rsidR="00860C43" w:rsidRPr="003E3E8A" w:rsidRDefault="00860C43" w:rsidP="008409B8">
      <w:pPr>
        <w:pStyle w:val="Heading1"/>
      </w:pPr>
      <w:bookmarkStart w:id="3" w:name="_Toc469918976"/>
      <w:r w:rsidRPr="003E3E8A">
        <w:t xml:space="preserve">2. </w:t>
      </w:r>
      <w:r w:rsidR="006A0C7D" w:rsidRPr="003E3E8A">
        <w:t>Aperçu du secteur de l’énergie e</w:t>
      </w:r>
      <w:r w:rsidRPr="003E3E8A">
        <w:t>n Ontario</w:t>
      </w:r>
      <w:bookmarkEnd w:id="3"/>
    </w:p>
    <w:p w:rsidR="00860C43" w:rsidRPr="003E3E8A" w:rsidRDefault="00751884" w:rsidP="00860C43">
      <w:p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 xml:space="preserve">Les </w:t>
      </w:r>
      <w:r w:rsidR="00F21AA5" w:rsidRPr="003E3E8A">
        <w:rPr>
          <w:rFonts w:ascii="Arial" w:hAnsi="Arial" w:cs="Arial"/>
          <w:lang w:val="fr-CA"/>
        </w:rPr>
        <w:t>bases</w:t>
      </w:r>
      <w:r w:rsidRPr="003E3E8A">
        <w:rPr>
          <w:rFonts w:ascii="Arial" w:hAnsi="Arial" w:cs="Arial"/>
          <w:lang w:val="fr-CA"/>
        </w:rPr>
        <w:t xml:space="preserve"> du secteur de 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 xml:space="preserve">énergie actuel </w:t>
      </w:r>
      <w:r w:rsidR="00F21AA5" w:rsidRPr="003E3E8A">
        <w:rPr>
          <w:rFonts w:ascii="Arial" w:hAnsi="Arial" w:cs="Arial"/>
          <w:lang w:val="fr-CA"/>
        </w:rPr>
        <w:t>de l’</w:t>
      </w:r>
      <w:r w:rsidRPr="003E3E8A">
        <w:rPr>
          <w:rFonts w:ascii="Arial" w:hAnsi="Arial" w:cs="Arial"/>
          <w:lang w:val="fr-CA"/>
        </w:rPr>
        <w:t xml:space="preserve">Ontario ont été établies en 1974, </w:t>
      </w:r>
      <w:r w:rsidR="002D7DE4" w:rsidRPr="003E3E8A">
        <w:rPr>
          <w:rFonts w:ascii="Arial" w:hAnsi="Arial" w:cs="Arial"/>
          <w:lang w:val="fr-CA"/>
        </w:rPr>
        <w:t>alors que la Hydro-electric Power Commission a été reconnue société de la Couronne et rebaptisée Ontario Hydro</w:t>
      </w:r>
      <w:r w:rsidR="00860C43" w:rsidRPr="003E3E8A">
        <w:rPr>
          <w:rFonts w:ascii="Arial" w:hAnsi="Arial" w:cs="Arial"/>
          <w:lang w:val="fr-CA"/>
        </w:rPr>
        <w:t>.</w:t>
      </w:r>
      <w:r w:rsidR="00860C43" w:rsidRPr="003E3E8A">
        <w:rPr>
          <w:rStyle w:val="FootnoteReference"/>
          <w:rFonts w:ascii="Arial" w:hAnsi="Arial" w:cs="Arial"/>
          <w:lang w:val="fr-CA"/>
        </w:rPr>
        <w:footnoteReference w:id="1"/>
      </w:r>
      <w:r w:rsidR="00860C43" w:rsidRPr="003E3E8A">
        <w:rPr>
          <w:rFonts w:ascii="Arial" w:hAnsi="Arial" w:cs="Arial"/>
          <w:lang w:val="fr-CA"/>
        </w:rPr>
        <w:t xml:space="preserve"> </w:t>
      </w:r>
      <w:r w:rsidRPr="003E3E8A">
        <w:rPr>
          <w:rFonts w:ascii="Arial" w:hAnsi="Arial" w:cs="Arial"/>
          <w:lang w:val="fr-CA"/>
        </w:rPr>
        <w:t>En 1979, la Commission Porter a recommandé que la planification de 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électricité de 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 xml:space="preserve">Ontario </w:t>
      </w:r>
      <w:r w:rsidR="002D7DE4" w:rsidRPr="003E3E8A">
        <w:rPr>
          <w:rFonts w:ascii="Arial" w:hAnsi="Arial" w:cs="Arial"/>
          <w:lang w:val="fr-CA"/>
        </w:rPr>
        <w:t>soit</w:t>
      </w:r>
      <w:r w:rsidRPr="003E3E8A">
        <w:rPr>
          <w:rFonts w:ascii="Arial" w:hAnsi="Arial" w:cs="Arial"/>
          <w:lang w:val="fr-CA"/>
        </w:rPr>
        <w:t xml:space="preserve"> </w:t>
      </w:r>
      <w:r w:rsidR="007C549A" w:rsidRPr="003E3E8A">
        <w:rPr>
          <w:rFonts w:ascii="Arial" w:hAnsi="Arial" w:cs="Arial"/>
          <w:lang w:val="fr-CA"/>
        </w:rPr>
        <w:t xml:space="preserve">axée </w:t>
      </w:r>
      <w:r w:rsidRPr="003E3E8A">
        <w:rPr>
          <w:rFonts w:ascii="Arial" w:hAnsi="Arial" w:cs="Arial"/>
          <w:lang w:val="fr-CA"/>
        </w:rPr>
        <w:t xml:space="preserve">sur la gestion de la demande, </w:t>
      </w:r>
      <w:r w:rsidR="007C549A" w:rsidRPr="003E3E8A">
        <w:rPr>
          <w:rFonts w:ascii="Arial" w:hAnsi="Arial" w:cs="Arial"/>
          <w:lang w:val="fr-CA"/>
        </w:rPr>
        <w:t>et non de l’offre</w:t>
      </w:r>
      <w:r w:rsidRPr="003E3E8A">
        <w:rPr>
          <w:rFonts w:ascii="Arial" w:hAnsi="Arial" w:cs="Arial"/>
          <w:lang w:val="fr-CA"/>
        </w:rPr>
        <w:t xml:space="preserve">. </w:t>
      </w:r>
      <w:r w:rsidR="007C549A" w:rsidRPr="003E3E8A">
        <w:rPr>
          <w:rFonts w:ascii="Arial" w:hAnsi="Arial" w:cs="Arial"/>
          <w:lang w:val="fr-CA"/>
        </w:rPr>
        <w:t xml:space="preserve">Cette </w:t>
      </w:r>
      <w:r w:rsidR="00F21AA5" w:rsidRPr="003E3E8A">
        <w:rPr>
          <w:rFonts w:ascii="Arial" w:hAnsi="Arial" w:cs="Arial"/>
          <w:lang w:val="fr-CA"/>
        </w:rPr>
        <w:t xml:space="preserve">nouvelle </w:t>
      </w:r>
      <w:r w:rsidR="007C549A" w:rsidRPr="003E3E8A">
        <w:rPr>
          <w:rFonts w:ascii="Arial" w:hAnsi="Arial" w:cs="Arial"/>
          <w:lang w:val="fr-CA"/>
        </w:rPr>
        <w:t>optique</w:t>
      </w:r>
      <w:r w:rsidR="00121E3C" w:rsidRPr="003E3E8A">
        <w:rPr>
          <w:rFonts w:ascii="Arial" w:hAnsi="Arial" w:cs="Arial"/>
          <w:lang w:val="fr-CA"/>
        </w:rPr>
        <w:t xml:space="preserve"> </w:t>
      </w:r>
      <w:r w:rsidR="00F21AA5" w:rsidRPr="003E3E8A">
        <w:rPr>
          <w:rFonts w:ascii="Arial" w:hAnsi="Arial" w:cs="Arial"/>
          <w:lang w:val="fr-CA"/>
        </w:rPr>
        <w:t>était attribuable au</w:t>
      </w:r>
      <w:r w:rsidR="00121E3C" w:rsidRPr="003E3E8A">
        <w:rPr>
          <w:rFonts w:ascii="Arial" w:hAnsi="Arial" w:cs="Arial"/>
          <w:lang w:val="fr-CA"/>
        </w:rPr>
        <w:t xml:space="preserve"> </w:t>
      </w:r>
      <w:r w:rsidR="00F21AA5" w:rsidRPr="003E3E8A">
        <w:rPr>
          <w:rFonts w:ascii="Arial" w:hAnsi="Arial" w:cs="Arial"/>
          <w:lang w:val="fr-CA"/>
        </w:rPr>
        <w:t xml:space="preserve">coût </w:t>
      </w:r>
      <w:r w:rsidR="00121E3C" w:rsidRPr="003E3E8A">
        <w:rPr>
          <w:rFonts w:ascii="Arial" w:hAnsi="Arial" w:cs="Arial"/>
          <w:lang w:val="fr-CA"/>
        </w:rPr>
        <w:t>de la construction et de l</w:t>
      </w:r>
      <w:r w:rsidR="006F7F2D" w:rsidRPr="003E3E8A">
        <w:rPr>
          <w:rFonts w:ascii="Arial" w:hAnsi="Arial" w:cs="Arial"/>
          <w:lang w:val="fr-CA"/>
        </w:rPr>
        <w:t>’</w:t>
      </w:r>
      <w:r w:rsidR="00121E3C" w:rsidRPr="003E3E8A">
        <w:rPr>
          <w:rFonts w:ascii="Arial" w:hAnsi="Arial" w:cs="Arial"/>
          <w:lang w:val="fr-CA"/>
        </w:rPr>
        <w:t xml:space="preserve">exploitation des centrales nucléaires, dont six </w:t>
      </w:r>
      <w:r w:rsidR="00F21AA5" w:rsidRPr="003E3E8A">
        <w:rPr>
          <w:rFonts w:ascii="Arial" w:hAnsi="Arial" w:cs="Arial"/>
          <w:lang w:val="fr-CA"/>
        </w:rPr>
        <w:t xml:space="preserve">ont été </w:t>
      </w:r>
      <w:r w:rsidR="00121E3C" w:rsidRPr="003E3E8A">
        <w:rPr>
          <w:rFonts w:ascii="Arial" w:hAnsi="Arial" w:cs="Arial"/>
          <w:lang w:val="fr-CA"/>
        </w:rPr>
        <w:t>construit</w:t>
      </w:r>
      <w:r w:rsidR="007C549A" w:rsidRPr="003E3E8A">
        <w:rPr>
          <w:rFonts w:ascii="Arial" w:hAnsi="Arial" w:cs="Arial"/>
          <w:lang w:val="fr-CA"/>
        </w:rPr>
        <w:t>es</w:t>
      </w:r>
      <w:r w:rsidR="00121E3C" w:rsidRPr="003E3E8A">
        <w:rPr>
          <w:rFonts w:ascii="Arial" w:hAnsi="Arial" w:cs="Arial"/>
          <w:lang w:val="fr-CA"/>
        </w:rPr>
        <w:t xml:space="preserve"> </w:t>
      </w:r>
      <w:r w:rsidR="00F21AA5" w:rsidRPr="003E3E8A">
        <w:rPr>
          <w:rFonts w:ascii="Arial" w:hAnsi="Arial" w:cs="Arial"/>
          <w:lang w:val="fr-CA"/>
        </w:rPr>
        <w:t xml:space="preserve">dans la province </w:t>
      </w:r>
      <w:r w:rsidR="00121E3C" w:rsidRPr="003E3E8A">
        <w:rPr>
          <w:rFonts w:ascii="Arial" w:hAnsi="Arial" w:cs="Arial"/>
          <w:lang w:val="fr-CA"/>
        </w:rPr>
        <w:t>entre 1971 et 1978</w:t>
      </w:r>
      <w:r w:rsidR="00860C43" w:rsidRPr="003E3E8A">
        <w:rPr>
          <w:rFonts w:ascii="Arial" w:hAnsi="Arial" w:cs="Arial"/>
          <w:lang w:val="fr-CA"/>
        </w:rPr>
        <w:t>.</w:t>
      </w:r>
      <w:r w:rsidR="00860C43" w:rsidRPr="003E3E8A">
        <w:rPr>
          <w:rStyle w:val="FootnoteReference"/>
          <w:rFonts w:ascii="Arial" w:hAnsi="Arial" w:cs="Arial"/>
          <w:lang w:val="fr-CA"/>
        </w:rPr>
        <w:footnoteReference w:id="2"/>
      </w:r>
      <w:r w:rsidR="00860C43" w:rsidRPr="003E3E8A">
        <w:rPr>
          <w:rFonts w:ascii="Arial" w:hAnsi="Arial" w:cs="Arial"/>
          <w:lang w:val="fr-CA"/>
        </w:rPr>
        <w:t xml:space="preserve">  </w:t>
      </w:r>
      <w:r w:rsidRPr="003E3E8A">
        <w:rPr>
          <w:rFonts w:ascii="Arial" w:hAnsi="Arial" w:cs="Arial"/>
          <w:lang w:val="fr-CA"/>
        </w:rPr>
        <w:t xml:space="preserve">Le trio </w:t>
      </w:r>
      <w:r w:rsidR="002D7DE4" w:rsidRPr="003E3E8A">
        <w:rPr>
          <w:rFonts w:ascii="Arial" w:hAnsi="Arial" w:cs="Arial"/>
          <w:lang w:val="fr-CA"/>
        </w:rPr>
        <w:t>d’énergie</w:t>
      </w:r>
      <w:r w:rsidR="00F21AA5" w:rsidRPr="003E3E8A">
        <w:rPr>
          <w:rFonts w:ascii="Arial" w:hAnsi="Arial" w:cs="Arial"/>
          <w:lang w:val="fr-CA"/>
        </w:rPr>
        <w:t xml:space="preserve"> </w:t>
      </w:r>
      <w:r w:rsidR="002D7DE4" w:rsidRPr="003E3E8A">
        <w:rPr>
          <w:rFonts w:ascii="Arial" w:hAnsi="Arial" w:cs="Arial"/>
          <w:lang w:val="fr-CA"/>
        </w:rPr>
        <w:t xml:space="preserve">de source hydroélectrique, au charbon et nucléaire </w:t>
      </w:r>
      <w:r w:rsidR="007C549A" w:rsidRPr="003E3E8A">
        <w:rPr>
          <w:rFonts w:ascii="Arial" w:hAnsi="Arial" w:cs="Arial"/>
          <w:lang w:val="fr-CA"/>
        </w:rPr>
        <w:t xml:space="preserve">a </w:t>
      </w:r>
      <w:r w:rsidR="00F21AA5" w:rsidRPr="003E3E8A">
        <w:rPr>
          <w:rFonts w:ascii="Arial" w:hAnsi="Arial" w:cs="Arial"/>
          <w:lang w:val="fr-CA"/>
        </w:rPr>
        <w:t>permis de produire</w:t>
      </w:r>
      <w:r w:rsidR="002D7DE4" w:rsidRPr="003E3E8A">
        <w:rPr>
          <w:rFonts w:ascii="Arial" w:hAnsi="Arial" w:cs="Arial"/>
          <w:lang w:val="fr-CA"/>
        </w:rPr>
        <w:t xml:space="preserve"> </w:t>
      </w:r>
      <w:r w:rsidRPr="003E3E8A">
        <w:rPr>
          <w:rFonts w:ascii="Arial" w:hAnsi="Arial" w:cs="Arial"/>
          <w:lang w:val="fr-CA"/>
        </w:rPr>
        <w:t xml:space="preserve">la majeure partie de </w:t>
      </w:r>
      <w:r w:rsidR="00F21AA5" w:rsidRPr="003E3E8A">
        <w:rPr>
          <w:rFonts w:ascii="Arial" w:hAnsi="Arial" w:cs="Arial"/>
          <w:lang w:val="fr-CA"/>
        </w:rPr>
        <w:t>l’</w:t>
      </w:r>
      <w:r w:rsidRPr="003E3E8A">
        <w:rPr>
          <w:rFonts w:ascii="Arial" w:hAnsi="Arial" w:cs="Arial"/>
          <w:lang w:val="fr-CA"/>
        </w:rPr>
        <w:t>électricité de 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Ontario dans les années</w:t>
      </w:r>
      <w:r w:rsidR="006F7F2D" w:rsidRPr="003E3E8A">
        <w:rPr>
          <w:rFonts w:ascii="Arial" w:hAnsi="Arial" w:cs="Arial"/>
          <w:lang w:val="fr-CA"/>
        </w:rPr>
        <w:t> </w:t>
      </w:r>
      <w:r w:rsidRPr="003E3E8A">
        <w:rPr>
          <w:rFonts w:ascii="Arial" w:hAnsi="Arial" w:cs="Arial"/>
          <w:lang w:val="fr-CA"/>
        </w:rPr>
        <w:t>1990.</w:t>
      </w:r>
      <w:r w:rsidR="007C549A" w:rsidRPr="003E3E8A">
        <w:rPr>
          <w:rFonts w:ascii="Arial" w:hAnsi="Arial" w:cs="Arial"/>
          <w:lang w:val="fr-CA"/>
        </w:rPr>
        <w:t xml:space="preserve"> </w:t>
      </w:r>
      <w:r w:rsidR="00716A44" w:rsidRPr="003E3E8A">
        <w:rPr>
          <w:rFonts w:ascii="Arial" w:hAnsi="Arial" w:cs="Arial"/>
          <w:lang w:val="fr-CA"/>
        </w:rPr>
        <w:t xml:space="preserve">Cependant, </w:t>
      </w:r>
      <w:r w:rsidR="00FE2F4D" w:rsidRPr="003E3E8A">
        <w:rPr>
          <w:rFonts w:ascii="Arial" w:hAnsi="Arial" w:cs="Arial"/>
          <w:lang w:val="fr-CA"/>
        </w:rPr>
        <w:t>dans le milieu des années</w:t>
      </w:r>
      <w:r w:rsidR="006F7F2D" w:rsidRPr="003E3E8A">
        <w:rPr>
          <w:rFonts w:ascii="Arial" w:hAnsi="Arial" w:cs="Arial"/>
          <w:lang w:val="fr-CA"/>
        </w:rPr>
        <w:t> </w:t>
      </w:r>
      <w:r w:rsidR="00716A44" w:rsidRPr="003E3E8A">
        <w:rPr>
          <w:rFonts w:ascii="Arial" w:hAnsi="Arial" w:cs="Arial"/>
          <w:lang w:val="fr-CA"/>
        </w:rPr>
        <w:t>1990</w:t>
      </w:r>
      <w:r w:rsidR="00FE2F4D" w:rsidRPr="003E3E8A">
        <w:rPr>
          <w:rFonts w:ascii="Arial" w:hAnsi="Arial" w:cs="Arial"/>
          <w:lang w:val="fr-CA"/>
        </w:rPr>
        <w:t>, on prévoyait</w:t>
      </w:r>
      <w:r w:rsidR="00716A44" w:rsidRPr="003E3E8A">
        <w:rPr>
          <w:rFonts w:ascii="Arial" w:hAnsi="Arial" w:cs="Arial"/>
          <w:lang w:val="fr-CA"/>
        </w:rPr>
        <w:t xml:space="preserve"> que l</w:t>
      </w:r>
      <w:r w:rsidR="006F7F2D" w:rsidRPr="003E3E8A">
        <w:rPr>
          <w:rFonts w:ascii="Arial" w:hAnsi="Arial" w:cs="Arial"/>
          <w:lang w:val="fr-CA"/>
        </w:rPr>
        <w:t>’</w:t>
      </w:r>
      <w:r w:rsidR="00716A44" w:rsidRPr="003E3E8A">
        <w:rPr>
          <w:rFonts w:ascii="Arial" w:hAnsi="Arial" w:cs="Arial"/>
          <w:lang w:val="fr-CA"/>
        </w:rPr>
        <w:t>offre ne serait pas en mesure de répondre à la demande</w:t>
      </w:r>
      <w:r w:rsidR="00860C43" w:rsidRPr="003E3E8A">
        <w:rPr>
          <w:rFonts w:ascii="Arial" w:hAnsi="Arial" w:cs="Arial"/>
          <w:lang w:val="fr-CA"/>
        </w:rPr>
        <w:t>.</w:t>
      </w:r>
      <w:r w:rsidR="00860C43" w:rsidRPr="003E3E8A">
        <w:rPr>
          <w:rStyle w:val="FootnoteReference"/>
          <w:rFonts w:ascii="Arial" w:hAnsi="Arial" w:cs="Arial"/>
          <w:lang w:val="fr-CA"/>
        </w:rPr>
        <w:footnoteReference w:id="3"/>
      </w:r>
      <w:r w:rsidR="00860C43" w:rsidRPr="003E3E8A">
        <w:rPr>
          <w:rFonts w:ascii="Arial" w:hAnsi="Arial" w:cs="Arial"/>
          <w:lang w:val="fr-CA"/>
        </w:rPr>
        <w:t xml:space="preserve"> </w:t>
      </w:r>
      <w:r w:rsidR="00FE2F4D" w:rsidRPr="003E3E8A">
        <w:rPr>
          <w:rFonts w:ascii="Arial" w:hAnsi="Arial" w:cs="Arial"/>
          <w:lang w:val="fr-CA"/>
        </w:rPr>
        <w:t>Selon les prévisions, l</w:t>
      </w:r>
      <w:r w:rsidR="00DA32A3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écart entre 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 xml:space="preserve">offre projetée </w:t>
      </w:r>
      <w:r w:rsidR="00DA32A3" w:rsidRPr="003E3E8A">
        <w:rPr>
          <w:rFonts w:ascii="Arial" w:hAnsi="Arial" w:cs="Arial"/>
          <w:lang w:val="fr-CA"/>
        </w:rPr>
        <w:t xml:space="preserve">et l’offre réelle </w:t>
      </w:r>
      <w:r w:rsidR="00FE2F4D" w:rsidRPr="003E3E8A">
        <w:rPr>
          <w:rFonts w:ascii="Arial" w:hAnsi="Arial" w:cs="Arial"/>
          <w:lang w:val="fr-CA"/>
        </w:rPr>
        <w:t xml:space="preserve">s’annonçait </w:t>
      </w:r>
      <w:r w:rsidRPr="003E3E8A">
        <w:rPr>
          <w:rFonts w:ascii="Arial" w:hAnsi="Arial" w:cs="Arial"/>
          <w:lang w:val="fr-CA"/>
        </w:rPr>
        <w:t xml:space="preserve">important, </w:t>
      </w:r>
      <w:r w:rsidR="00FE2F4D" w:rsidRPr="003E3E8A">
        <w:rPr>
          <w:rFonts w:ascii="Arial" w:hAnsi="Arial" w:cs="Arial"/>
          <w:lang w:val="fr-CA"/>
        </w:rPr>
        <w:t>cependant,</w:t>
      </w:r>
      <w:r w:rsidRPr="003E3E8A">
        <w:rPr>
          <w:rFonts w:ascii="Arial" w:hAnsi="Arial" w:cs="Arial"/>
          <w:lang w:val="fr-CA"/>
        </w:rPr>
        <w:t xml:space="preserve"> </w:t>
      </w:r>
      <w:r w:rsidR="00FE2F4D" w:rsidRPr="003E3E8A">
        <w:rPr>
          <w:rFonts w:ascii="Arial" w:hAnsi="Arial" w:cs="Arial"/>
          <w:lang w:val="fr-CA"/>
        </w:rPr>
        <w:t xml:space="preserve">on estimait que </w:t>
      </w:r>
      <w:r w:rsidR="006F7F2D" w:rsidRPr="003E3E8A">
        <w:rPr>
          <w:rFonts w:ascii="Arial" w:hAnsi="Arial" w:cs="Arial"/>
          <w:lang w:val="fr-CA"/>
        </w:rPr>
        <w:t xml:space="preserve">la </w:t>
      </w:r>
      <w:r w:rsidRPr="003E3E8A">
        <w:rPr>
          <w:rFonts w:ascii="Arial" w:hAnsi="Arial" w:cs="Arial"/>
          <w:lang w:val="fr-CA"/>
        </w:rPr>
        <w:t xml:space="preserve">construction de quatre nouveaux réacteurs nucléaires à Darlington </w:t>
      </w:r>
      <w:r w:rsidR="00FE2F4D" w:rsidRPr="003E3E8A">
        <w:rPr>
          <w:rFonts w:ascii="Arial" w:hAnsi="Arial" w:cs="Arial"/>
          <w:lang w:val="fr-CA"/>
        </w:rPr>
        <w:t>allait accroître l</w:t>
      </w:r>
      <w:r w:rsidR="006F7F2D" w:rsidRPr="003E3E8A">
        <w:rPr>
          <w:rFonts w:ascii="Arial" w:hAnsi="Arial" w:cs="Arial"/>
          <w:lang w:val="fr-CA"/>
        </w:rPr>
        <w:t>’</w:t>
      </w:r>
      <w:r w:rsidR="00FE2F4D" w:rsidRPr="003E3E8A">
        <w:rPr>
          <w:rFonts w:ascii="Arial" w:hAnsi="Arial" w:cs="Arial"/>
          <w:lang w:val="fr-CA"/>
        </w:rPr>
        <w:t xml:space="preserve">offre d’énergie nucléaire et ainsi combler </w:t>
      </w:r>
      <w:r w:rsidR="007C549A" w:rsidRPr="003E3E8A">
        <w:rPr>
          <w:rFonts w:ascii="Arial" w:hAnsi="Arial" w:cs="Arial"/>
          <w:lang w:val="fr-CA"/>
        </w:rPr>
        <w:t xml:space="preserve">cet </w:t>
      </w:r>
      <w:r w:rsidRPr="003E3E8A">
        <w:rPr>
          <w:rFonts w:ascii="Arial" w:hAnsi="Arial" w:cs="Arial"/>
          <w:lang w:val="fr-CA"/>
        </w:rPr>
        <w:t xml:space="preserve">écart. </w:t>
      </w:r>
      <w:r w:rsidR="00716A44" w:rsidRPr="003E3E8A">
        <w:rPr>
          <w:rFonts w:ascii="Arial" w:hAnsi="Arial" w:cs="Arial"/>
          <w:lang w:val="fr-CA"/>
        </w:rPr>
        <w:t xml:space="preserve">La dette importante </w:t>
      </w:r>
      <w:r w:rsidR="00FE2F4D" w:rsidRPr="003E3E8A">
        <w:rPr>
          <w:rFonts w:ascii="Arial" w:hAnsi="Arial" w:cs="Arial"/>
          <w:lang w:val="fr-CA"/>
        </w:rPr>
        <w:t>qu’a engendré</w:t>
      </w:r>
      <w:r w:rsidR="000F7960" w:rsidRPr="003E3E8A">
        <w:rPr>
          <w:rFonts w:ascii="Arial" w:hAnsi="Arial" w:cs="Arial"/>
          <w:lang w:val="fr-CA"/>
        </w:rPr>
        <w:t>e</w:t>
      </w:r>
      <w:r w:rsidR="00FE2F4D" w:rsidRPr="003E3E8A">
        <w:rPr>
          <w:rFonts w:ascii="Arial" w:hAnsi="Arial" w:cs="Arial"/>
          <w:lang w:val="fr-CA"/>
        </w:rPr>
        <w:t xml:space="preserve"> </w:t>
      </w:r>
      <w:r w:rsidR="00716A44" w:rsidRPr="003E3E8A">
        <w:rPr>
          <w:rFonts w:ascii="Arial" w:hAnsi="Arial" w:cs="Arial"/>
          <w:lang w:val="fr-CA"/>
        </w:rPr>
        <w:t xml:space="preserve">la construction </w:t>
      </w:r>
      <w:r w:rsidR="0071351E" w:rsidRPr="003E3E8A">
        <w:rPr>
          <w:rFonts w:ascii="Arial" w:hAnsi="Arial" w:cs="Arial"/>
          <w:lang w:val="fr-CA"/>
        </w:rPr>
        <w:t>à</w:t>
      </w:r>
      <w:r w:rsidR="00716A44" w:rsidRPr="003E3E8A">
        <w:rPr>
          <w:rFonts w:ascii="Arial" w:hAnsi="Arial" w:cs="Arial"/>
          <w:lang w:val="fr-CA"/>
        </w:rPr>
        <w:t xml:space="preserve"> Darlington a mis un frein à la construction </w:t>
      </w:r>
      <w:r w:rsidR="00FE2F4D" w:rsidRPr="003E3E8A">
        <w:rPr>
          <w:rFonts w:ascii="Arial" w:hAnsi="Arial" w:cs="Arial"/>
          <w:lang w:val="fr-CA"/>
        </w:rPr>
        <w:t>d’autres</w:t>
      </w:r>
      <w:r w:rsidR="00716A44" w:rsidRPr="003E3E8A">
        <w:rPr>
          <w:rFonts w:ascii="Arial" w:hAnsi="Arial" w:cs="Arial"/>
          <w:lang w:val="fr-CA"/>
        </w:rPr>
        <w:t xml:space="preserve"> centrales électriques, en particulier par le secteur public et parapublic.</w:t>
      </w:r>
    </w:p>
    <w:p w:rsidR="00860C43" w:rsidRPr="003E3E8A" w:rsidRDefault="00860C43" w:rsidP="00860C43">
      <w:pPr>
        <w:rPr>
          <w:rFonts w:ascii="Arial" w:hAnsi="Arial" w:cs="Arial"/>
          <w:lang w:val="fr-CA"/>
        </w:rPr>
      </w:pPr>
    </w:p>
    <w:p w:rsidR="00DD5EFA" w:rsidRPr="003E3E8A" w:rsidRDefault="00751884" w:rsidP="00860C43">
      <w:p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lastRenderedPageBreak/>
        <w:t>L</w:t>
      </w:r>
      <w:r w:rsidR="002D7DE4" w:rsidRPr="003E3E8A">
        <w:rPr>
          <w:rFonts w:ascii="Arial" w:hAnsi="Arial" w:cs="Arial"/>
          <w:lang w:val="fr-CA"/>
        </w:rPr>
        <w:t xml:space="preserve">’adoption </w:t>
      </w:r>
      <w:r w:rsidRPr="003E3E8A">
        <w:rPr>
          <w:rFonts w:ascii="Arial" w:hAnsi="Arial" w:cs="Arial"/>
          <w:lang w:val="fr-CA"/>
        </w:rPr>
        <w:t xml:space="preserve">de la </w:t>
      </w:r>
      <w:r w:rsidRPr="003E3E8A">
        <w:rPr>
          <w:rFonts w:ascii="Arial" w:hAnsi="Arial" w:cs="Arial"/>
          <w:i/>
          <w:lang w:val="fr-CA"/>
        </w:rPr>
        <w:t xml:space="preserve">Loi </w:t>
      </w:r>
      <w:r w:rsidR="00FE2F4D" w:rsidRPr="003E3E8A">
        <w:rPr>
          <w:rFonts w:ascii="Arial" w:hAnsi="Arial" w:cs="Arial"/>
          <w:i/>
          <w:lang w:val="fr-CA"/>
        </w:rPr>
        <w:t xml:space="preserve">de 1998 </w:t>
      </w:r>
      <w:r w:rsidRPr="003E3E8A">
        <w:rPr>
          <w:rFonts w:ascii="Arial" w:hAnsi="Arial" w:cs="Arial"/>
          <w:i/>
          <w:lang w:val="fr-CA"/>
        </w:rPr>
        <w:t xml:space="preserve">sur la concurrence </w:t>
      </w:r>
      <w:r w:rsidR="00FE2F4D" w:rsidRPr="003E3E8A">
        <w:rPr>
          <w:rFonts w:ascii="Arial" w:hAnsi="Arial" w:cs="Arial"/>
          <w:i/>
          <w:lang w:val="fr-CA"/>
        </w:rPr>
        <w:t xml:space="preserve">dans le secteur </w:t>
      </w:r>
      <w:r w:rsidRPr="003E3E8A">
        <w:rPr>
          <w:rFonts w:ascii="Arial" w:hAnsi="Arial" w:cs="Arial"/>
          <w:i/>
          <w:lang w:val="fr-CA"/>
        </w:rPr>
        <w:t>de l</w:t>
      </w:r>
      <w:r w:rsidR="006F7F2D" w:rsidRPr="003E3E8A">
        <w:rPr>
          <w:rFonts w:ascii="Arial" w:hAnsi="Arial" w:cs="Arial"/>
          <w:i/>
          <w:lang w:val="fr-CA"/>
        </w:rPr>
        <w:t>’</w:t>
      </w:r>
      <w:r w:rsidRPr="003E3E8A">
        <w:rPr>
          <w:rFonts w:ascii="Arial" w:hAnsi="Arial" w:cs="Arial"/>
          <w:i/>
          <w:lang w:val="fr-CA"/>
        </w:rPr>
        <w:t>énergie</w:t>
      </w:r>
      <w:r w:rsidRPr="003E3E8A">
        <w:rPr>
          <w:rFonts w:ascii="Arial" w:hAnsi="Arial" w:cs="Arial"/>
          <w:lang w:val="fr-CA"/>
        </w:rPr>
        <w:t xml:space="preserve"> a mis fin au monopole de la production d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électricité par Ontario Hydro</w:t>
      </w:r>
      <w:r w:rsidR="007C549A" w:rsidRPr="003E3E8A">
        <w:rPr>
          <w:rFonts w:ascii="Arial" w:hAnsi="Arial" w:cs="Arial"/>
          <w:lang w:val="fr-CA"/>
        </w:rPr>
        <w:t xml:space="preserve"> </w:t>
      </w:r>
      <w:r w:rsidRPr="003E3E8A">
        <w:rPr>
          <w:rFonts w:ascii="Arial" w:hAnsi="Arial" w:cs="Arial"/>
          <w:lang w:val="fr-CA"/>
        </w:rPr>
        <w:t xml:space="preserve">et la province </w:t>
      </w:r>
      <w:r w:rsidR="00FE2F4D" w:rsidRPr="003E3E8A">
        <w:rPr>
          <w:rFonts w:ascii="Arial" w:hAnsi="Arial" w:cs="Arial"/>
          <w:lang w:val="fr-CA"/>
        </w:rPr>
        <w:t>s’est tourné</w:t>
      </w:r>
      <w:r w:rsidR="006F7F2D" w:rsidRPr="003E3E8A">
        <w:rPr>
          <w:rFonts w:ascii="Arial" w:hAnsi="Arial" w:cs="Arial"/>
          <w:lang w:val="fr-CA"/>
        </w:rPr>
        <w:t>e</w:t>
      </w:r>
      <w:r w:rsidR="00FE2F4D" w:rsidRPr="003E3E8A">
        <w:rPr>
          <w:rFonts w:ascii="Arial" w:hAnsi="Arial" w:cs="Arial"/>
          <w:lang w:val="fr-CA"/>
        </w:rPr>
        <w:t xml:space="preserve"> </w:t>
      </w:r>
      <w:r w:rsidR="007C549A" w:rsidRPr="003E3E8A">
        <w:rPr>
          <w:rFonts w:ascii="Arial" w:hAnsi="Arial" w:cs="Arial"/>
          <w:lang w:val="fr-CA"/>
        </w:rPr>
        <w:t xml:space="preserve">vers </w:t>
      </w:r>
      <w:r w:rsidRPr="003E3E8A">
        <w:rPr>
          <w:rFonts w:ascii="Arial" w:hAnsi="Arial" w:cs="Arial"/>
          <w:lang w:val="fr-CA"/>
        </w:rPr>
        <w:t xml:space="preserve">un nouveau </w:t>
      </w:r>
      <w:r w:rsidR="005252E3" w:rsidRPr="003E3E8A">
        <w:rPr>
          <w:rFonts w:ascii="Arial" w:hAnsi="Arial" w:cs="Arial"/>
          <w:lang w:val="fr-CA"/>
        </w:rPr>
        <w:t>réseau</w:t>
      </w:r>
      <w:r w:rsidRPr="003E3E8A">
        <w:rPr>
          <w:rFonts w:ascii="Arial" w:hAnsi="Arial" w:cs="Arial"/>
          <w:lang w:val="fr-CA"/>
        </w:rPr>
        <w:t xml:space="preserve"> d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électricité axé sur le marché.</w:t>
      </w:r>
      <w:r w:rsidR="00121E3C" w:rsidRPr="003E3E8A">
        <w:rPr>
          <w:rFonts w:ascii="Arial" w:hAnsi="Arial" w:cs="Arial"/>
          <w:lang w:val="fr-CA"/>
        </w:rPr>
        <w:t xml:space="preserve"> </w:t>
      </w:r>
      <w:r w:rsidR="00716A44" w:rsidRPr="003E3E8A">
        <w:rPr>
          <w:rFonts w:ascii="Arial" w:hAnsi="Arial" w:cs="Arial"/>
          <w:lang w:val="fr-CA"/>
        </w:rPr>
        <w:t xml:space="preserve">Ontario Hydro a été divisée en cinq sociétés distinctes </w:t>
      </w:r>
      <w:r w:rsidR="00FE2F4D" w:rsidRPr="003E3E8A">
        <w:rPr>
          <w:rFonts w:ascii="Arial" w:hAnsi="Arial" w:cs="Arial"/>
          <w:lang w:val="fr-CA"/>
        </w:rPr>
        <w:t>qui relèvent tou</w:t>
      </w:r>
      <w:r w:rsidR="006F7F2D" w:rsidRPr="003E3E8A">
        <w:rPr>
          <w:rFonts w:ascii="Arial" w:hAnsi="Arial" w:cs="Arial"/>
          <w:lang w:val="fr-CA"/>
        </w:rPr>
        <w:t>t</w:t>
      </w:r>
      <w:r w:rsidR="00FE2F4D" w:rsidRPr="003E3E8A">
        <w:rPr>
          <w:rFonts w:ascii="Arial" w:hAnsi="Arial" w:cs="Arial"/>
          <w:lang w:val="fr-CA"/>
        </w:rPr>
        <w:t>es</w:t>
      </w:r>
      <w:r w:rsidR="00716A44" w:rsidRPr="003E3E8A">
        <w:rPr>
          <w:rFonts w:ascii="Arial" w:hAnsi="Arial" w:cs="Arial"/>
          <w:lang w:val="fr-CA"/>
        </w:rPr>
        <w:t xml:space="preserve"> du </w:t>
      </w:r>
      <w:r w:rsidR="00FE2F4D" w:rsidRPr="003E3E8A">
        <w:rPr>
          <w:rFonts w:ascii="Arial" w:hAnsi="Arial" w:cs="Arial"/>
          <w:lang w:val="fr-CA"/>
        </w:rPr>
        <w:t>m</w:t>
      </w:r>
      <w:r w:rsidR="00716A44" w:rsidRPr="003E3E8A">
        <w:rPr>
          <w:rFonts w:ascii="Arial" w:hAnsi="Arial" w:cs="Arial"/>
          <w:lang w:val="fr-CA"/>
        </w:rPr>
        <w:t>inistère de l</w:t>
      </w:r>
      <w:r w:rsidR="006F7F2D" w:rsidRPr="003E3E8A">
        <w:rPr>
          <w:rFonts w:ascii="Arial" w:hAnsi="Arial" w:cs="Arial"/>
          <w:lang w:val="fr-CA"/>
        </w:rPr>
        <w:t>’</w:t>
      </w:r>
      <w:r w:rsidR="00121E3C" w:rsidRPr="003E3E8A">
        <w:rPr>
          <w:rFonts w:ascii="Arial" w:hAnsi="Arial" w:cs="Arial"/>
          <w:lang w:val="fr-CA"/>
        </w:rPr>
        <w:t>Énergie</w:t>
      </w:r>
      <w:r w:rsidR="00860C43" w:rsidRPr="003E3E8A">
        <w:rPr>
          <w:rFonts w:ascii="Arial" w:hAnsi="Arial" w:cs="Arial"/>
          <w:lang w:val="fr-CA"/>
        </w:rPr>
        <w:t>.</w:t>
      </w:r>
      <w:r w:rsidR="00860C43" w:rsidRPr="003E3E8A">
        <w:rPr>
          <w:rStyle w:val="FootnoteReference"/>
          <w:rFonts w:ascii="Arial" w:hAnsi="Arial" w:cs="Arial"/>
          <w:lang w:val="fr-CA"/>
        </w:rPr>
        <w:footnoteReference w:id="4"/>
      </w:r>
    </w:p>
    <w:p w:rsidR="00DD5EFA" w:rsidRPr="003E3E8A" w:rsidRDefault="00DD5EFA" w:rsidP="00860C43">
      <w:pPr>
        <w:rPr>
          <w:rFonts w:ascii="Arial" w:hAnsi="Arial" w:cs="Arial"/>
          <w:lang w:val="fr-CA"/>
        </w:rPr>
      </w:pPr>
    </w:p>
    <w:p w:rsidR="00DD5EFA" w:rsidRPr="003E3E8A" w:rsidRDefault="00716A44" w:rsidP="00DD5EFA">
      <w:pPr>
        <w:pStyle w:val="ListParagraph"/>
        <w:numPr>
          <w:ilvl w:val="0"/>
          <w:numId w:val="10"/>
        </w:num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La Commission de 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énergie de 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Ontario a été créé</w:t>
      </w:r>
      <w:r w:rsidR="00843716" w:rsidRPr="003E3E8A">
        <w:rPr>
          <w:rFonts w:ascii="Arial" w:hAnsi="Arial" w:cs="Arial"/>
          <w:lang w:val="fr-CA"/>
        </w:rPr>
        <w:t>e</w:t>
      </w:r>
      <w:r w:rsidRPr="003E3E8A">
        <w:rPr>
          <w:rFonts w:ascii="Arial" w:hAnsi="Arial" w:cs="Arial"/>
          <w:lang w:val="fr-CA"/>
        </w:rPr>
        <w:t xml:space="preserve"> pour </w:t>
      </w:r>
      <w:r w:rsidR="005C40A6" w:rsidRPr="003E3E8A">
        <w:rPr>
          <w:rFonts w:ascii="Arial" w:hAnsi="Arial" w:cs="Arial"/>
          <w:lang w:val="fr-CA"/>
        </w:rPr>
        <w:t>réglementer</w:t>
      </w:r>
      <w:r w:rsidRPr="003E3E8A">
        <w:rPr>
          <w:rFonts w:ascii="Arial" w:hAnsi="Arial" w:cs="Arial"/>
          <w:lang w:val="fr-CA"/>
        </w:rPr>
        <w:t xml:space="preserve"> le</w:t>
      </w:r>
      <w:r w:rsidR="005C40A6" w:rsidRPr="003E3E8A">
        <w:rPr>
          <w:rFonts w:ascii="Arial" w:hAnsi="Arial" w:cs="Arial"/>
          <w:lang w:val="fr-CA"/>
        </w:rPr>
        <w:t>s industries du</w:t>
      </w:r>
      <w:r w:rsidRPr="003E3E8A">
        <w:rPr>
          <w:rFonts w:ascii="Arial" w:hAnsi="Arial" w:cs="Arial"/>
          <w:lang w:val="fr-CA"/>
        </w:rPr>
        <w:t xml:space="preserve"> gaz naturel et </w:t>
      </w:r>
      <w:r w:rsidR="005C40A6" w:rsidRPr="003E3E8A">
        <w:rPr>
          <w:rFonts w:ascii="Arial" w:hAnsi="Arial" w:cs="Arial"/>
          <w:lang w:val="fr-CA"/>
        </w:rPr>
        <w:t>de l’</w:t>
      </w:r>
      <w:r w:rsidRPr="003E3E8A">
        <w:rPr>
          <w:rFonts w:ascii="Arial" w:hAnsi="Arial" w:cs="Arial"/>
          <w:lang w:val="fr-CA"/>
        </w:rPr>
        <w:t>électricité</w:t>
      </w:r>
      <w:r w:rsidR="00843716" w:rsidRPr="003E3E8A">
        <w:rPr>
          <w:rFonts w:ascii="Arial" w:hAnsi="Arial" w:cs="Arial"/>
          <w:lang w:val="fr-CA"/>
        </w:rPr>
        <w:t>.</w:t>
      </w:r>
    </w:p>
    <w:p w:rsidR="00DD5EFA" w:rsidRPr="003E3E8A" w:rsidRDefault="00716A44" w:rsidP="00DD5EFA">
      <w:pPr>
        <w:pStyle w:val="ListParagraph"/>
        <w:numPr>
          <w:ilvl w:val="0"/>
          <w:numId w:val="10"/>
        </w:num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Office de 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électricité de 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 xml:space="preserve">Ontario </w:t>
      </w:r>
      <w:r w:rsidR="00843716" w:rsidRPr="003E3E8A">
        <w:rPr>
          <w:rFonts w:ascii="Arial" w:hAnsi="Arial" w:cs="Arial"/>
          <w:lang w:val="fr-CA"/>
        </w:rPr>
        <w:t>devait se charger de la</w:t>
      </w:r>
      <w:r w:rsidRPr="003E3E8A">
        <w:rPr>
          <w:rFonts w:ascii="Arial" w:hAnsi="Arial" w:cs="Arial"/>
          <w:lang w:val="fr-CA"/>
        </w:rPr>
        <w:t xml:space="preserve"> planification du </w:t>
      </w:r>
      <w:r w:rsidR="0071351E" w:rsidRPr="003E3E8A">
        <w:rPr>
          <w:rFonts w:ascii="Arial" w:hAnsi="Arial" w:cs="Arial"/>
          <w:lang w:val="fr-CA"/>
        </w:rPr>
        <w:t>réseau</w:t>
      </w:r>
      <w:r w:rsidRPr="003E3E8A">
        <w:rPr>
          <w:rFonts w:ascii="Arial" w:hAnsi="Arial" w:cs="Arial"/>
          <w:lang w:val="fr-CA"/>
        </w:rPr>
        <w:t xml:space="preserve"> et </w:t>
      </w:r>
      <w:r w:rsidR="00843716" w:rsidRPr="003E3E8A">
        <w:rPr>
          <w:rFonts w:ascii="Arial" w:hAnsi="Arial" w:cs="Arial"/>
          <w:lang w:val="fr-CA"/>
        </w:rPr>
        <w:t xml:space="preserve">des </w:t>
      </w:r>
      <w:r w:rsidRPr="003E3E8A">
        <w:rPr>
          <w:rFonts w:ascii="Arial" w:hAnsi="Arial" w:cs="Arial"/>
          <w:lang w:val="fr-CA"/>
        </w:rPr>
        <w:t>prévision</w:t>
      </w:r>
      <w:r w:rsidR="00843716" w:rsidRPr="003E3E8A">
        <w:rPr>
          <w:rFonts w:ascii="Arial" w:hAnsi="Arial" w:cs="Arial"/>
          <w:lang w:val="fr-CA"/>
        </w:rPr>
        <w:t>s</w:t>
      </w:r>
      <w:r w:rsidRPr="003E3E8A">
        <w:rPr>
          <w:rFonts w:ascii="Arial" w:hAnsi="Arial" w:cs="Arial"/>
          <w:lang w:val="fr-CA"/>
        </w:rPr>
        <w:t xml:space="preserve"> de la demande</w:t>
      </w:r>
      <w:r w:rsidR="00843716" w:rsidRPr="003E3E8A">
        <w:rPr>
          <w:rFonts w:ascii="Arial" w:hAnsi="Arial" w:cs="Arial"/>
          <w:lang w:val="fr-CA"/>
        </w:rPr>
        <w:t>.</w:t>
      </w:r>
    </w:p>
    <w:p w:rsidR="00DD5EFA" w:rsidRPr="003E3E8A" w:rsidRDefault="005C40A6" w:rsidP="005C40A6">
      <w:pPr>
        <w:pStyle w:val="ListParagraph"/>
        <w:numPr>
          <w:ilvl w:val="0"/>
          <w:numId w:val="10"/>
        </w:num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 xml:space="preserve">La Société indépendante d’exploitation du réseau d’électricité </w:t>
      </w:r>
      <w:r w:rsidR="00843716" w:rsidRPr="003E3E8A">
        <w:rPr>
          <w:rFonts w:ascii="Arial" w:hAnsi="Arial" w:cs="Arial"/>
          <w:lang w:val="fr-CA"/>
        </w:rPr>
        <w:t xml:space="preserve">devait </w:t>
      </w:r>
      <w:r w:rsidR="00716A44" w:rsidRPr="003E3E8A">
        <w:rPr>
          <w:rFonts w:ascii="Arial" w:hAnsi="Arial" w:cs="Arial"/>
          <w:lang w:val="fr-CA"/>
        </w:rPr>
        <w:t xml:space="preserve">gérer tous les producteurs, les </w:t>
      </w:r>
      <w:r w:rsidR="00286FBA" w:rsidRPr="003E3E8A">
        <w:rPr>
          <w:rFonts w:ascii="Arial" w:hAnsi="Arial" w:cs="Arial"/>
          <w:lang w:val="fr-CA"/>
        </w:rPr>
        <w:t>transporteurs</w:t>
      </w:r>
      <w:r w:rsidR="00716A44" w:rsidRPr="003E3E8A">
        <w:rPr>
          <w:rFonts w:ascii="Arial" w:hAnsi="Arial" w:cs="Arial"/>
          <w:lang w:val="fr-CA"/>
        </w:rPr>
        <w:t xml:space="preserve"> et les </w:t>
      </w:r>
      <w:r w:rsidR="00286FBA" w:rsidRPr="003E3E8A">
        <w:rPr>
          <w:rFonts w:ascii="Arial" w:hAnsi="Arial" w:cs="Arial"/>
          <w:lang w:val="fr-CA"/>
        </w:rPr>
        <w:t>revendeurs</w:t>
      </w:r>
      <w:r w:rsidR="00843716" w:rsidRPr="003E3E8A">
        <w:rPr>
          <w:rFonts w:ascii="Arial" w:hAnsi="Arial" w:cs="Arial"/>
          <w:lang w:val="fr-CA"/>
        </w:rPr>
        <w:t>.</w:t>
      </w:r>
    </w:p>
    <w:p w:rsidR="00DD5EFA" w:rsidRPr="003E3E8A" w:rsidRDefault="00716A44" w:rsidP="00DD5EFA">
      <w:pPr>
        <w:pStyle w:val="ListParagraph"/>
        <w:numPr>
          <w:ilvl w:val="0"/>
          <w:numId w:val="10"/>
        </w:num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 xml:space="preserve">Hydro One </w:t>
      </w:r>
      <w:r w:rsidR="00843716" w:rsidRPr="003E3E8A">
        <w:rPr>
          <w:rFonts w:ascii="Arial" w:hAnsi="Arial" w:cs="Arial"/>
          <w:lang w:val="fr-CA"/>
        </w:rPr>
        <w:t>devait</w:t>
      </w:r>
      <w:r w:rsidRPr="003E3E8A">
        <w:rPr>
          <w:rFonts w:ascii="Arial" w:hAnsi="Arial" w:cs="Arial"/>
          <w:lang w:val="fr-CA"/>
        </w:rPr>
        <w:t xml:space="preserve"> gérer les </w:t>
      </w:r>
      <w:r w:rsidR="00286FBA" w:rsidRPr="003E3E8A">
        <w:rPr>
          <w:rFonts w:ascii="Arial" w:hAnsi="Arial" w:cs="Arial"/>
          <w:lang w:val="fr-CA"/>
        </w:rPr>
        <w:t>câbles</w:t>
      </w:r>
      <w:r w:rsidRPr="003E3E8A">
        <w:rPr>
          <w:rFonts w:ascii="Arial" w:hAnsi="Arial" w:cs="Arial"/>
          <w:lang w:val="fr-CA"/>
        </w:rPr>
        <w:t xml:space="preserve"> et les </w:t>
      </w:r>
      <w:r w:rsidR="0071351E" w:rsidRPr="003E3E8A">
        <w:rPr>
          <w:rFonts w:ascii="Arial" w:hAnsi="Arial" w:cs="Arial"/>
          <w:lang w:val="fr-CA"/>
        </w:rPr>
        <w:t>réseaux</w:t>
      </w:r>
      <w:r w:rsidRPr="003E3E8A">
        <w:rPr>
          <w:rFonts w:ascii="Arial" w:hAnsi="Arial" w:cs="Arial"/>
          <w:lang w:val="fr-CA"/>
        </w:rPr>
        <w:t xml:space="preserve"> de </w:t>
      </w:r>
      <w:r w:rsidR="000F7960" w:rsidRPr="003E3E8A">
        <w:rPr>
          <w:rFonts w:ascii="Arial" w:hAnsi="Arial" w:cs="Arial"/>
          <w:lang w:val="fr-CA"/>
        </w:rPr>
        <w:t>transport</w:t>
      </w:r>
      <w:r w:rsidR="00843716" w:rsidRPr="003E3E8A">
        <w:rPr>
          <w:rFonts w:ascii="Arial" w:hAnsi="Arial" w:cs="Arial"/>
          <w:lang w:val="fr-CA"/>
        </w:rPr>
        <w:t>.</w:t>
      </w:r>
    </w:p>
    <w:p w:rsidR="00DD5EFA" w:rsidRPr="003E3E8A" w:rsidRDefault="00843716" w:rsidP="00DD5EFA">
      <w:pPr>
        <w:pStyle w:val="ListParagraph"/>
        <w:numPr>
          <w:ilvl w:val="0"/>
          <w:numId w:val="10"/>
        </w:num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 xml:space="preserve">Ontario Power Generation était </w:t>
      </w:r>
      <w:r w:rsidR="00286FBA" w:rsidRPr="003E3E8A">
        <w:rPr>
          <w:rFonts w:ascii="Arial" w:hAnsi="Arial" w:cs="Arial"/>
          <w:lang w:val="fr-CA"/>
        </w:rPr>
        <w:t>chargée</w:t>
      </w:r>
      <w:r w:rsidRPr="003E3E8A">
        <w:rPr>
          <w:rFonts w:ascii="Arial" w:hAnsi="Arial" w:cs="Arial"/>
          <w:lang w:val="fr-CA"/>
        </w:rPr>
        <w:t xml:space="preserve"> de la production et </w:t>
      </w:r>
      <w:r w:rsidR="00286FBA" w:rsidRPr="003E3E8A">
        <w:rPr>
          <w:rFonts w:ascii="Arial" w:hAnsi="Arial" w:cs="Arial"/>
          <w:lang w:val="fr-CA"/>
        </w:rPr>
        <w:t xml:space="preserve">de </w:t>
      </w:r>
      <w:r w:rsidRPr="003E3E8A">
        <w:rPr>
          <w:rFonts w:ascii="Arial" w:hAnsi="Arial" w:cs="Arial"/>
          <w:lang w:val="fr-CA"/>
        </w:rPr>
        <w:t>la vente d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électricité dans la province</w:t>
      </w:r>
      <w:r w:rsidR="00860C43" w:rsidRPr="003E3E8A">
        <w:rPr>
          <w:rFonts w:ascii="Arial" w:hAnsi="Arial" w:cs="Arial"/>
          <w:lang w:val="fr-CA"/>
        </w:rPr>
        <w:t>.</w:t>
      </w:r>
      <w:r w:rsidR="00860C43" w:rsidRPr="003E3E8A">
        <w:rPr>
          <w:rStyle w:val="FootnoteReference"/>
          <w:rFonts w:ascii="Arial" w:hAnsi="Arial" w:cs="Arial"/>
          <w:lang w:val="fr-CA"/>
        </w:rPr>
        <w:footnoteReference w:id="5"/>
      </w:r>
    </w:p>
    <w:p w:rsidR="00DD5EFA" w:rsidRPr="003E3E8A" w:rsidRDefault="00DD5EFA" w:rsidP="00DD5EFA">
      <w:pPr>
        <w:rPr>
          <w:rFonts w:ascii="Arial" w:hAnsi="Arial" w:cs="Arial"/>
          <w:lang w:val="fr-CA"/>
        </w:rPr>
      </w:pPr>
    </w:p>
    <w:p w:rsidR="00860C43" w:rsidRPr="003E3E8A" w:rsidRDefault="005252E3" w:rsidP="00DD5EFA">
      <w:p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Grâce à ce réseau</w:t>
      </w:r>
      <w:r w:rsidR="00751884" w:rsidRPr="003E3E8A">
        <w:rPr>
          <w:rFonts w:ascii="Arial" w:hAnsi="Arial" w:cs="Arial"/>
          <w:lang w:val="fr-CA"/>
        </w:rPr>
        <w:t xml:space="preserve">, un marché libre de courte durée </w:t>
      </w:r>
      <w:r w:rsidR="007B1035" w:rsidRPr="003E3E8A">
        <w:rPr>
          <w:rFonts w:ascii="Arial" w:hAnsi="Arial" w:cs="Arial"/>
          <w:lang w:val="fr-CA"/>
        </w:rPr>
        <w:t xml:space="preserve">s’est </w:t>
      </w:r>
      <w:r w:rsidRPr="003E3E8A">
        <w:rPr>
          <w:rFonts w:ascii="Arial" w:hAnsi="Arial" w:cs="Arial"/>
          <w:lang w:val="fr-CA"/>
        </w:rPr>
        <w:t>établi</w:t>
      </w:r>
      <w:r w:rsidR="00751884" w:rsidRPr="003E3E8A">
        <w:rPr>
          <w:rFonts w:ascii="Arial" w:hAnsi="Arial" w:cs="Arial"/>
          <w:lang w:val="fr-CA"/>
        </w:rPr>
        <w:t xml:space="preserve"> </w:t>
      </w:r>
      <w:r w:rsidR="0071351E" w:rsidRPr="003E3E8A">
        <w:rPr>
          <w:rFonts w:ascii="Arial" w:hAnsi="Arial" w:cs="Arial"/>
          <w:lang w:val="fr-CA"/>
        </w:rPr>
        <w:t xml:space="preserve">pour l’électricité </w:t>
      </w:r>
      <w:r w:rsidR="00751884" w:rsidRPr="003E3E8A">
        <w:rPr>
          <w:rFonts w:ascii="Arial" w:hAnsi="Arial" w:cs="Arial"/>
          <w:lang w:val="fr-CA"/>
        </w:rPr>
        <w:t xml:space="preserve">en 2002. </w:t>
      </w:r>
      <w:r w:rsidR="007B1035" w:rsidRPr="003E3E8A">
        <w:rPr>
          <w:rFonts w:ascii="Arial" w:hAnsi="Arial" w:cs="Arial"/>
          <w:lang w:val="fr-CA"/>
        </w:rPr>
        <w:t>De</w:t>
      </w:r>
      <w:r w:rsidR="00716A44" w:rsidRPr="003E3E8A">
        <w:rPr>
          <w:rFonts w:ascii="Arial" w:hAnsi="Arial" w:cs="Arial"/>
          <w:lang w:val="fr-CA"/>
        </w:rPr>
        <w:t xml:space="preserve"> 1996 </w:t>
      </w:r>
      <w:r w:rsidR="007B1035" w:rsidRPr="003E3E8A">
        <w:rPr>
          <w:rFonts w:ascii="Arial" w:hAnsi="Arial" w:cs="Arial"/>
          <w:lang w:val="fr-CA"/>
        </w:rPr>
        <w:t xml:space="preserve">à </w:t>
      </w:r>
      <w:r w:rsidR="00716A44" w:rsidRPr="003E3E8A">
        <w:rPr>
          <w:rFonts w:ascii="Arial" w:hAnsi="Arial" w:cs="Arial"/>
          <w:lang w:val="fr-CA"/>
        </w:rPr>
        <w:t xml:space="preserve">2003, alors que ce </w:t>
      </w:r>
      <w:r w:rsidRPr="003E3E8A">
        <w:rPr>
          <w:rFonts w:ascii="Arial" w:hAnsi="Arial" w:cs="Arial"/>
          <w:lang w:val="fr-CA"/>
        </w:rPr>
        <w:t>réseau</w:t>
      </w:r>
      <w:r w:rsidR="00716A44" w:rsidRPr="003E3E8A">
        <w:rPr>
          <w:rFonts w:ascii="Arial" w:hAnsi="Arial" w:cs="Arial"/>
          <w:lang w:val="fr-CA"/>
        </w:rPr>
        <w:t xml:space="preserve"> se développ</w:t>
      </w:r>
      <w:r w:rsidR="007B1035" w:rsidRPr="003E3E8A">
        <w:rPr>
          <w:rFonts w:ascii="Arial" w:hAnsi="Arial" w:cs="Arial"/>
          <w:lang w:val="fr-CA"/>
        </w:rPr>
        <w:t>ait</w:t>
      </w:r>
      <w:r w:rsidR="00716A44" w:rsidRPr="003E3E8A">
        <w:rPr>
          <w:rFonts w:ascii="Arial" w:hAnsi="Arial" w:cs="Arial"/>
          <w:lang w:val="fr-CA"/>
        </w:rPr>
        <w:t xml:space="preserve">, la capacité totale de production </w:t>
      </w:r>
      <w:r w:rsidRPr="003E3E8A">
        <w:rPr>
          <w:rFonts w:ascii="Arial" w:hAnsi="Arial" w:cs="Arial"/>
          <w:lang w:val="fr-CA"/>
        </w:rPr>
        <w:t xml:space="preserve">d’électricité </w:t>
      </w:r>
      <w:r w:rsidR="00716A44" w:rsidRPr="003E3E8A">
        <w:rPr>
          <w:rFonts w:ascii="Arial" w:hAnsi="Arial" w:cs="Arial"/>
          <w:lang w:val="fr-CA"/>
        </w:rPr>
        <w:t xml:space="preserve">en Ontario a chuté de </w:t>
      </w:r>
      <w:r w:rsidR="007B1035" w:rsidRPr="003E3E8A">
        <w:rPr>
          <w:rFonts w:ascii="Arial" w:hAnsi="Arial" w:cs="Arial"/>
          <w:lang w:val="fr-CA"/>
        </w:rPr>
        <w:t>6 </w:t>
      </w:r>
      <w:r w:rsidR="006F7F2D" w:rsidRPr="003E3E8A">
        <w:rPr>
          <w:rFonts w:ascii="Arial" w:hAnsi="Arial" w:cs="Arial"/>
          <w:lang w:val="fr-CA"/>
        </w:rPr>
        <w:t>%</w:t>
      </w:r>
      <w:r w:rsidR="00716A44" w:rsidRPr="003E3E8A">
        <w:rPr>
          <w:rFonts w:ascii="Arial" w:hAnsi="Arial" w:cs="Arial"/>
          <w:lang w:val="fr-CA"/>
        </w:rPr>
        <w:t>, alors que la demande</w:t>
      </w:r>
      <w:r w:rsidRPr="003E3E8A">
        <w:rPr>
          <w:rFonts w:ascii="Arial" w:hAnsi="Arial" w:cs="Arial"/>
          <w:lang w:val="fr-CA"/>
        </w:rPr>
        <w:t>,</w:t>
      </w:r>
      <w:r w:rsidR="00716A44" w:rsidRPr="003E3E8A">
        <w:rPr>
          <w:rFonts w:ascii="Arial" w:hAnsi="Arial" w:cs="Arial"/>
          <w:lang w:val="fr-CA"/>
        </w:rPr>
        <w:t xml:space="preserve"> </w:t>
      </w:r>
      <w:r w:rsidRPr="003E3E8A">
        <w:rPr>
          <w:rFonts w:ascii="Arial" w:hAnsi="Arial" w:cs="Arial"/>
          <w:lang w:val="fr-CA"/>
        </w:rPr>
        <w:t>elle,</w:t>
      </w:r>
      <w:r w:rsidR="00716A44" w:rsidRPr="003E3E8A">
        <w:rPr>
          <w:rFonts w:ascii="Arial" w:hAnsi="Arial" w:cs="Arial"/>
          <w:lang w:val="fr-CA"/>
        </w:rPr>
        <w:t xml:space="preserve"> a augmenté de 8,5</w:t>
      </w:r>
      <w:r w:rsidR="007B1035" w:rsidRPr="003E3E8A">
        <w:rPr>
          <w:rFonts w:ascii="Arial" w:hAnsi="Arial" w:cs="Arial"/>
          <w:lang w:val="fr-CA"/>
        </w:rPr>
        <w:t> </w:t>
      </w:r>
      <w:r w:rsidR="006F7F2D" w:rsidRPr="003E3E8A">
        <w:rPr>
          <w:rFonts w:ascii="Arial" w:hAnsi="Arial" w:cs="Arial"/>
          <w:lang w:val="fr-CA"/>
        </w:rPr>
        <w:t>%</w:t>
      </w:r>
      <w:r w:rsidR="00860C43" w:rsidRPr="003E3E8A">
        <w:rPr>
          <w:rFonts w:ascii="Arial" w:hAnsi="Arial" w:cs="Arial"/>
          <w:lang w:val="fr-CA"/>
        </w:rPr>
        <w:t>.</w:t>
      </w:r>
      <w:r w:rsidR="00860C43" w:rsidRPr="003E3E8A">
        <w:rPr>
          <w:rStyle w:val="FootnoteReference"/>
          <w:rFonts w:ascii="Arial" w:hAnsi="Arial" w:cs="Arial"/>
          <w:lang w:val="fr-CA"/>
        </w:rPr>
        <w:footnoteReference w:id="6"/>
      </w:r>
      <w:r w:rsidR="00860C43" w:rsidRPr="003E3E8A">
        <w:rPr>
          <w:rFonts w:ascii="Arial" w:hAnsi="Arial" w:cs="Arial"/>
          <w:lang w:val="fr-CA"/>
        </w:rPr>
        <w:t xml:space="preserve"> </w:t>
      </w:r>
      <w:r w:rsidR="00751884" w:rsidRPr="003E3E8A">
        <w:rPr>
          <w:rFonts w:ascii="Arial" w:hAnsi="Arial" w:cs="Arial"/>
          <w:lang w:val="fr-CA"/>
        </w:rPr>
        <w:t xml:space="preserve">La combinaison de la déréglementation du marché, </w:t>
      </w:r>
      <w:r w:rsidR="007B1035" w:rsidRPr="003E3E8A">
        <w:rPr>
          <w:rFonts w:ascii="Arial" w:hAnsi="Arial" w:cs="Arial"/>
          <w:lang w:val="fr-CA"/>
        </w:rPr>
        <w:t xml:space="preserve">de </w:t>
      </w:r>
      <w:r w:rsidR="00751884" w:rsidRPr="003E3E8A">
        <w:rPr>
          <w:rFonts w:ascii="Arial" w:hAnsi="Arial" w:cs="Arial"/>
          <w:lang w:val="fr-CA"/>
        </w:rPr>
        <w:t>l</w:t>
      </w:r>
      <w:r w:rsidR="006F7F2D" w:rsidRPr="003E3E8A">
        <w:rPr>
          <w:rFonts w:ascii="Arial" w:hAnsi="Arial" w:cs="Arial"/>
          <w:lang w:val="fr-CA"/>
        </w:rPr>
        <w:t>’</w:t>
      </w:r>
      <w:r w:rsidR="00751884" w:rsidRPr="003E3E8A">
        <w:rPr>
          <w:rFonts w:ascii="Arial" w:hAnsi="Arial" w:cs="Arial"/>
          <w:lang w:val="fr-CA"/>
        </w:rPr>
        <w:t xml:space="preserve">augmentation de la demande et de </w:t>
      </w:r>
      <w:r w:rsidRPr="003E3E8A">
        <w:rPr>
          <w:rFonts w:ascii="Arial" w:hAnsi="Arial" w:cs="Arial"/>
          <w:lang w:val="fr-CA"/>
        </w:rPr>
        <w:t>la diminution de l’offre</w:t>
      </w:r>
      <w:r w:rsidR="00751884" w:rsidRPr="003E3E8A">
        <w:rPr>
          <w:rFonts w:ascii="Arial" w:hAnsi="Arial" w:cs="Arial"/>
          <w:lang w:val="fr-CA"/>
        </w:rPr>
        <w:t xml:space="preserve"> a entraîné une </w:t>
      </w:r>
      <w:r w:rsidRPr="003E3E8A">
        <w:rPr>
          <w:rFonts w:ascii="Arial" w:hAnsi="Arial" w:cs="Arial"/>
          <w:lang w:val="fr-CA"/>
        </w:rPr>
        <w:t>hausse brutale</w:t>
      </w:r>
      <w:r w:rsidR="00751884" w:rsidRPr="003E3E8A">
        <w:rPr>
          <w:rFonts w:ascii="Arial" w:hAnsi="Arial" w:cs="Arial"/>
          <w:lang w:val="fr-CA"/>
        </w:rPr>
        <w:t xml:space="preserve"> du prix de l</w:t>
      </w:r>
      <w:r w:rsidR="006F7F2D" w:rsidRPr="003E3E8A">
        <w:rPr>
          <w:rFonts w:ascii="Arial" w:hAnsi="Arial" w:cs="Arial"/>
          <w:lang w:val="fr-CA"/>
        </w:rPr>
        <w:t>’</w:t>
      </w:r>
      <w:r w:rsidR="00751884" w:rsidRPr="003E3E8A">
        <w:rPr>
          <w:rFonts w:ascii="Arial" w:hAnsi="Arial" w:cs="Arial"/>
          <w:lang w:val="fr-CA"/>
        </w:rPr>
        <w:t>électricité.</w:t>
      </w:r>
      <w:r w:rsidR="007B1035" w:rsidRPr="003E3E8A">
        <w:rPr>
          <w:rFonts w:ascii="Arial" w:hAnsi="Arial" w:cs="Arial"/>
          <w:lang w:val="fr-CA"/>
        </w:rPr>
        <w:t xml:space="preserve"> </w:t>
      </w:r>
      <w:r w:rsidRPr="003E3E8A">
        <w:rPr>
          <w:rFonts w:ascii="Arial" w:hAnsi="Arial" w:cs="Arial"/>
          <w:lang w:val="fr-CA"/>
        </w:rPr>
        <w:t>Pour contrer cette situation, un plafond pour les prix de l’électricité a été fixé en 2002</w:t>
      </w:r>
      <w:r w:rsidR="00751884" w:rsidRPr="003E3E8A">
        <w:rPr>
          <w:rFonts w:ascii="Arial" w:hAnsi="Arial" w:cs="Arial"/>
          <w:lang w:val="fr-CA"/>
        </w:rPr>
        <w:t xml:space="preserve">. </w:t>
      </w:r>
      <w:r w:rsidR="00716A44" w:rsidRPr="003E3E8A">
        <w:rPr>
          <w:rFonts w:ascii="Arial" w:hAnsi="Arial" w:cs="Arial"/>
          <w:lang w:val="fr-CA"/>
        </w:rPr>
        <w:t xml:space="preserve">Les préoccupations </w:t>
      </w:r>
      <w:r w:rsidRPr="003E3E8A">
        <w:rPr>
          <w:rFonts w:ascii="Arial" w:hAnsi="Arial" w:cs="Arial"/>
          <w:lang w:val="fr-CA"/>
        </w:rPr>
        <w:t xml:space="preserve">se sont également accrues à l’égard de la dépendance de la province à </w:t>
      </w:r>
      <w:r w:rsidR="009F3154" w:rsidRPr="003E3E8A">
        <w:rPr>
          <w:rFonts w:ascii="Arial" w:hAnsi="Arial" w:cs="Arial"/>
          <w:lang w:val="fr-CA"/>
        </w:rPr>
        <w:t>la production axée sur le charbon</w:t>
      </w:r>
      <w:r w:rsidR="000F7960" w:rsidRPr="003E3E8A">
        <w:rPr>
          <w:rFonts w:ascii="Arial" w:hAnsi="Arial" w:cs="Arial"/>
          <w:lang w:val="fr-CA"/>
        </w:rPr>
        <w:t>,</w:t>
      </w:r>
      <w:r w:rsidR="00716A44" w:rsidRPr="003E3E8A">
        <w:rPr>
          <w:rFonts w:ascii="Arial" w:hAnsi="Arial" w:cs="Arial"/>
          <w:lang w:val="fr-CA"/>
        </w:rPr>
        <w:t xml:space="preserve"> </w:t>
      </w:r>
      <w:r w:rsidR="000F7960" w:rsidRPr="003E3E8A">
        <w:rPr>
          <w:rFonts w:ascii="Arial" w:hAnsi="Arial" w:cs="Arial"/>
          <w:lang w:val="fr-CA"/>
        </w:rPr>
        <w:t xml:space="preserve">dont le </w:t>
      </w:r>
      <w:r w:rsidR="0071351E" w:rsidRPr="003E3E8A">
        <w:rPr>
          <w:rFonts w:ascii="Arial" w:hAnsi="Arial" w:cs="Arial"/>
          <w:lang w:val="fr-CA"/>
        </w:rPr>
        <w:t>coût</w:t>
      </w:r>
      <w:r w:rsidR="000F7960" w:rsidRPr="003E3E8A">
        <w:rPr>
          <w:rFonts w:ascii="Arial" w:hAnsi="Arial" w:cs="Arial"/>
          <w:lang w:val="fr-CA"/>
        </w:rPr>
        <w:t xml:space="preserve"> d’importation est élevé</w:t>
      </w:r>
      <w:r w:rsidR="00716A44" w:rsidRPr="003E3E8A">
        <w:rPr>
          <w:rFonts w:ascii="Arial" w:hAnsi="Arial" w:cs="Arial"/>
          <w:lang w:val="fr-CA"/>
        </w:rPr>
        <w:t>.</w:t>
      </w:r>
    </w:p>
    <w:p w:rsidR="00860C43" w:rsidRPr="003E3E8A" w:rsidRDefault="00860C43" w:rsidP="00860C43">
      <w:pPr>
        <w:rPr>
          <w:rFonts w:ascii="Arial" w:hAnsi="Arial" w:cs="Arial"/>
          <w:lang w:val="fr-CA"/>
        </w:rPr>
      </w:pPr>
    </w:p>
    <w:p w:rsidR="00860C43" w:rsidRPr="003E3E8A" w:rsidRDefault="000F7960" w:rsidP="00860C43">
      <w:p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En 2003, u</w:t>
      </w:r>
      <w:r w:rsidR="00751884" w:rsidRPr="003E3E8A">
        <w:rPr>
          <w:rFonts w:ascii="Arial" w:hAnsi="Arial" w:cs="Arial"/>
          <w:lang w:val="fr-CA"/>
        </w:rPr>
        <w:t>ne panne d</w:t>
      </w:r>
      <w:r w:rsidR="006F7F2D" w:rsidRPr="003E3E8A">
        <w:rPr>
          <w:rFonts w:ascii="Arial" w:hAnsi="Arial" w:cs="Arial"/>
          <w:lang w:val="fr-CA"/>
        </w:rPr>
        <w:t>’</w:t>
      </w:r>
      <w:r w:rsidR="00751884" w:rsidRPr="003E3E8A">
        <w:rPr>
          <w:rFonts w:ascii="Arial" w:hAnsi="Arial" w:cs="Arial"/>
          <w:lang w:val="fr-CA"/>
        </w:rPr>
        <w:t>électricité dans l</w:t>
      </w:r>
      <w:r w:rsidR="006F7F2D" w:rsidRPr="003E3E8A">
        <w:rPr>
          <w:rFonts w:ascii="Arial" w:hAnsi="Arial" w:cs="Arial"/>
          <w:lang w:val="fr-CA"/>
        </w:rPr>
        <w:t>’</w:t>
      </w:r>
      <w:r w:rsidR="00751884" w:rsidRPr="003E3E8A">
        <w:rPr>
          <w:rFonts w:ascii="Arial" w:hAnsi="Arial" w:cs="Arial"/>
          <w:lang w:val="fr-CA"/>
        </w:rPr>
        <w:t>est de l</w:t>
      </w:r>
      <w:r w:rsidR="006F7F2D" w:rsidRPr="003E3E8A">
        <w:rPr>
          <w:rFonts w:ascii="Arial" w:hAnsi="Arial" w:cs="Arial"/>
          <w:lang w:val="fr-CA"/>
        </w:rPr>
        <w:t>’</w:t>
      </w:r>
      <w:r w:rsidR="00751884" w:rsidRPr="003E3E8A">
        <w:rPr>
          <w:rFonts w:ascii="Arial" w:hAnsi="Arial" w:cs="Arial"/>
          <w:lang w:val="fr-CA"/>
        </w:rPr>
        <w:t>Amérique du Nord a accentué les inquiétudes quant à la stabilité à long terme de l</w:t>
      </w:r>
      <w:r w:rsidR="006F7F2D" w:rsidRPr="003E3E8A">
        <w:rPr>
          <w:rFonts w:ascii="Arial" w:hAnsi="Arial" w:cs="Arial"/>
          <w:lang w:val="fr-CA"/>
        </w:rPr>
        <w:t>’</w:t>
      </w:r>
      <w:r w:rsidR="00751884" w:rsidRPr="003E3E8A">
        <w:rPr>
          <w:rFonts w:ascii="Arial" w:hAnsi="Arial" w:cs="Arial"/>
          <w:lang w:val="fr-CA"/>
        </w:rPr>
        <w:t xml:space="preserve">approvisionnement </w:t>
      </w:r>
      <w:r w:rsidR="007B1035" w:rsidRPr="003E3E8A">
        <w:rPr>
          <w:rFonts w:ascii="Arial" w:hAnsi="Arial" w:cs="Arial"/>
          <w:lang w:val="fr-CA"/>
        </w:rPr>
        <w:t xml:space="preserve">en électricité </w:t>
      </w:r>
      <w:r w:rsidR="00751884" w:rsidRPr="003E3E8A">
        <w:rPr>
          <w:rFonts w:ascii="Arial" w:hAnsi="Arial" w:cs="Arial"/>
          <w:lang w:val="fr-CA"/>
        </w:rPr>
        <w:t xml:space="preserve">en Ontario. </w:t>
      </w:r>
      <w:r w:rsidRPr="003E3E8A">
        <w:rPr>
          <w:rFonts w:ascii="Arial" w:hAnsi="Arial" w:cs="Arial"/>
          <w:lang w:val="fr-CA"/>
        </w:rPr>
        <w:t>La</w:t>
      </w:r>
      <w:r w:rsidR="00751884" w:rsidRPr="003E3E8A">
        <w:rPr>
          <w:rFonts w:ascii="Arial" w:hAnsi="Arial" w:cs="Arial"/>
          <w:lang w:val="fr-CA"/>
        </w:rPr>
        <w:t xml:space="preserve"> rénovation de centrale</w:t>
      </w:r>
      <w:r w:rsidR="0071351E" w:rsidRPr="003E3E8A">
        <w:rPr>
          <w:rFonts w:ascii="Arial" w:hAnsi="Arial" w:cs="Arial"/>
          <w:lang w:val="fr-CA"/>
        </w:rPr>
        <w:t>s</w:t>
      </w:r>
      <w:r w:rsidR="00751884" w:rsidRPr="003E3E8A">
        <w:rPr>
          <w:rFonts w:ascii="Arial" w:hAnsi="Arial" w:cs="Arial"/>
          <w:lang w:val="fr-CA"/>
        </w:rPr>
        <w:t xml:space="preserve"> nucléaire</w:t>
      </w:r>
      <w:r w:rsidR="0071351E" w:rsidRPr="003E3E8A">
        <w:rPr>
          <w:rFonts w:ascii="Arial" w:hAnsi="Arial" w:cs="Arial"/>
          <w:lang w:val="fr-CA"/>
        </w:rPr>
        <w:t>s</w:t>
      </w:r>
      <w:r w:rsidR="00751884" w:rsidRPr="003E3E8A">
        <w:rPr>
          <w:rFonts w:ascii="Arial" w:hAnsi="Arial" w:cs="Arial"/>
          <w:lang w:val="fr-CA"/>
        </w:rPr>
        <w:t>, la création de sources d</w:t>
      </w:r>
      <w:r w:rsidR="006F7F2D" w:rsidRPr="003E3E8A">
        <w:rPr>
          <w:rFonts w:ascii="Arial" w:hAnsi="Arial" w:cs="Arial"/>
          <w:lang w:val="fr-CA"/>
        </w:rPr>
        <w:t>’</w:t>
      </w:r>
      <w:r w:rsidR="00751884" w:rsidRPr="003E3E8A">
        <w:rPr>
          <w:rFonts w:ascii="Arial" w:hAnsi="Arial" w:cs="Arial"/>
          <w:lang w:val="fr-CA"/>
        </w:rPr>
        <w:t>énergie</w:t>
      </w:r>
      <w:r w:rsidR="0086168B" w:rsidRPr="003E3E8A">
        <w:rPr>
          <w:rFonts w:ascii="Arial" w:hAnsi="Arial" w:cs="Arial"/>
          <w:lang w:val="fr-CA"/>
        </w:rPr>
        <w:t xml:space="preserve"> renouvelables</w:t>
      </w:r>
      <w:r w:rsidR="00843716" w:rsidRPr="003E3E8A">
        <w:rPr>
          <w:rFonts w:ascii="Arial" w:hAnsi="Arial" w:cs="Arial"/>
          <w:lang w:val="fr-CA"/>
        </w:rPr>
        <w:t>,</w:t>
      </w:r>
      <w:r w:rsidR="00751884" w:rsidRPr="003E3E8A">
        <w:rPr>
          <w:rFonts w:ascii="Arial" w:hAnsi="Arial" w:cs="Arial"/>
          <w:lang w:val="fr-CA"/>
        </w:rPr>
        <w:t xml:space="preserve"> </w:t>
      </w:r>
      <w:r w:rsidR="00716A44" w:rsidRPr="003E3E8A">
        <w:rPr>
          <w:rFonts w:ascii="Arial" w:hAnsi="Arial" w:cs="Arial"/>
          <w:lang w:val="fr-CA"/>
        </w:rPr>
        <w:t>telles que l</w:t>
      </w:r>
      <w:r w:rsidR="006F7F2D" w:rsidRPr="003E3E8A">
        <w:rPr>
          <w:rFonts w:ascii="Arial" w:hAnsi="Arial" w:cs="Arial"/>
          <w:lang w:val="fr-CA"/>
        </w:rPr>
        <w:t>’</w:t>
      </w:r>
      <w:r w:rsidR="00716A44" w:rsidRPr="003E3E8A">
        <w:rPr>
          <w:rFonts w:ascii="Arial" w:hAnsi="Arial" w:cs="Arial"/>
          <w:lang w:val="fr-CA"/>
        </w:rPr>
        <w:t>énergie solaire</w:t>
      </w:r>
      <w:r w:rsidR="0086168B" w:rsidRPr="003E3E8A">
        <w:rPr>
          <w:rFonts w:ascii="Arial" w:hAnsi="Arial" w:cs="Arial"/>
          <w:lang w:val="fr-CA"/>
        </w:rPr>
        <w:t xml:space="preserve"> et</w:t>
      </w:r>
      <w:r w:rsidR="00716A44" w:rsidRPr="003E3E8A">
        <w:rPr>
          <w:rFonts w:ascii="Arial" w:hAnsi="Arial" w:cs="Arial"/>
          <w:lang w:val="fr-CA"/>
        </w:rPr>
        <w:t xml:space="preserve"> </w:t>
      </w:r>
      <w:r w:rsidR="00843716" w:rsidRPr="003E3E8A">
        <w:rPr>
          <w:rFonts w:ascii="Arial" w:hAnsi="Arial" w:cs="Arial"/>
          <w:lang w:val="fr-CA"/>
        </w:rPr>
        <w:t>éolienne</w:t>
      </w:r>
      <w:r w:rsidR="0086168B" w:rsidRPr="003E3E8A">
        <w:rPr>
          <w:rFonts w:ascii="Arial" w:hAnsi="Arial" w:cs="Arial"/>
          <w:lang w:val="fr-CA"/>
        </w:rPr>
        <w:t>,</w:t>
      </w:r>
      <w:r w:rsidR="00716A44" w:rsidRPr="003E3E8A">
        <w:rPr>
          <w:rFonts w:ascii="Arial" w:hAnsi="Arial" w:cs="Arial"/>
          <w:lang w:val="fr-CA"/>
        </w:rPr>
        <w:t xml:space="preserve"> </w:t>
      </w:r>
      <w:r w:rsidR="0086168B" w:rsidRPr="003E3E8A">
        <w:rPr>
          <w:rFonts w:ascii="Arial" w:hAnsi="Arial" w:cs="Arial"/>
          <w:lang w:val="fr-CA"/>
        </w:rPr>
        <w:t xml:space="preserve">une plus grande production d’énergie hydroélectrique, </w:t>
      </w:r>
      <w:r w:rsidR="00751884" w:rsidRPr="003E3E8A">
        <w:rPr>
          <w:rFonts w:ascii="Arial" w:hAnsi="Arial" w:cs="Arial"/>
          <w:lang w:val="fr-CA"/>
        </w:rPr>
        <w:t xml:space="preserve">ainsi que des améliorations aux lignes de transport et de distribution ont contribué </w:t>
      </w:r>
      <w:r w:rsidR="0071351E" w:rsidRPr="003E3E8A">
        <w:rPr>
          <w:rFonts w:ascii="Arial" w:hAnsi="Arial" w:cs="Arial"/>
          <w:lang w:val="fr-CA"/>
        </w:rPr>
        <w:t xml:space="preserve">à </w:t>
      </w:r>
      <w:r w:rsidR="0086168B" w:rsidRPr="003E3E8A">
        <w:rPr>
          <w:rFonts w:ascii="Arial" w:hAnsi="Arial" w:cs="Arial"/>
          <w:lang w:val="fr-CA"/>
        </w:rPr>
        <w:t>multiplier les</w:t>
      </w:r>
      <w:r w:rsidR="00716A44" w:rsidRPr="003E3E8A">
        <w:rPr>
          <w:rFonts w:ascii="Arial" w:hAnsi="Arial" w:cs="Arial"/>
          <w:lang w:val="fr-CA"/>
        </w:rPr>
        <w:t xml:space="preserve"> sources d</w:t>
      </w:r>
      <w:r w:rsidR="006F7F2D" w:rsidRPr="003E3E8A">
        <w:rPr>
          <w:rFonts w:ascii="Arial" w:hAnsi="Arial" w:cs="Arial"/>
          <w:lang w:val="fr-CA"/>
        </w:rPr>
        <w:t>’</w:t>
      </w:r>
      <w:r w:rsidR="00716A44" w:rsidRPr="003E3E8A">
        <w:rPr>
          <w:rFonts w:ascii="Arial" w:hAnsi="Arial" w:cs="Arial"/>
          <w:lang w:val="fr-CA"/>
        </w:rPr>
        <w:t xml:space="preserve">alimentation </w:t>
      </w:r>
      <w:r w:rsidR="00843716" w:rsidRPr="003E3E8A">
        <w:rPr>
          <w:rFonts w:ascii="Arial" w:hAnsi="Arial" w:cs="Arial"/>
          <w:lang w:val="fr-CA"/>
        </w:rPr>
        <w:t>sur les</w:t>
      </w:r>
      <w:r w:rsidR="00716A44" w:rsidRPr="003E3E8A">
        <w:rPr>
          <w:rFonts w:ascii="Arial" w:hAnsi="Arial" w:cs="Arial"/>
          <w:lang w:val="fr-CA"/>
        </w:rPr>
        <w:t xml:space="preserve"> ligne</w:t>
      </w:r>
      <w:r w:rsidR="00843716" w:rsidRPr="003E3E8A">
        <w:rPr>
          <w:rFonts w:ascii="Arial" w:hAnsi="Arial" w:cs="Arial"/>
          <w:lang w:val="fr-CA"/>
        </w:rPr>
        <w:t>s</w:t>
      </w:r>
      <w:r w:rsidR="00716A44" w:rsidRPr="003E3E8A">
        <w:rPr>
          <w:rFonts w:ascii="Arial" w:hAnsi="Arial" w:cs="Arial"/>
          <w:lang w:val="fr-CA"/>
        </w:rPr>
        <w:t xml:space="preserve"> et </w:t>
      </w:r>
      <w:r w:rsidR="0086168B" w:rsidRPr="003E3E8A">
        <w:rPr>
          <w:rFonts w:ascii="Arial" w:hAnsi="Arial" w:cs="Arial"/>
          <w:lang w:val="fr-CA"/>
        </w:rPr>
        <w:t xml:space="preserve">ont </w:t>
      </w:r>
      <w:r w:rsidR="00716A44" w:rsidRPr="003E3E8A">
        <w:rPr>
          <w:rFonts w:ascii="Arial" w:hAnsi="Arial" w:cs="Arial"/>
          <w:lang w:val="fr-CA"/>
        </w:rPr>
        <w:t xml:space="preserve">permis </w:t>
      </w:r>
      <w:r w:rsidR="0086168B" w:rsidRPr="003E3E8A">
        <w:rPr>
          <w:rFonts w:ascii="Arial" w:hAnsi="Arial" w:cs="Arial"/>
          <w:lang w:val="fr-CA"/>
        </w:rPr>
        <w:t xml:space="preserve">d’éliminer progressivement </w:t>
      </w:r>
      <w:r w:rsidR="00843716" w:rsidRPr="003E3E8A">
        <w:rPr>
          <w:rFonts w:ascii="Arial" w:hAnsi="Arial" w:cs="Arial"/>
          <w:lang w:val="fr-CA"/>
        </w:rPr>
        <w:t xml:space="preserve">l’électricité </w:t>
      </w:r>
      <w:r w:rsidR="0086168B" w:rsidRPr="003E3E8A">
        <w:rPr>
          <w:rFonts w:ascii="Arial" w:hAnsi="Arial" w:cs="Arial"/>
          <w:lang w:val="fr-CA"/>
        </w:rPr>
        <w:t xml:space="preserve">produite à partir </w:t>
      </w:r>
      <w:r w:rsidR="00843716" w:rsidRPr="003E3E8A">
        <w:rPr>
          <w:rFonts w:ascii="Arial" w:hAnsi="Arial" w:cs="Arial"/>
          <w:lang w:val="fr-CA"/>
        </w:rPr>
        <w:t>du charbon</w:t>
      </w:r>
      <w:r w:rsidR="00716A44" w:rsidRPr="003E3E8A">
        <w:rPr>
          <w:rFonts w:ascii="Arial" w:hAnsi="Arial" w:cs="Arial"/>
          <w:lang w:val="fr-CA"/>
        </w:rPr>
        <w:t xml:space="preserve">. </w:t>
      </w:r>
      <w:r w:rsidR="00751884" w:rsidRPr="003E3E8A">
        <w:rPr>
          <w:rFonts w:ascii="Arial" w:hAnsi="Arial" w:cs="Arial"/>
          <w:lang w:val="fr-CA"/>
        </w:rPr>
        <w:t xml:space="preserve">Le </w:t>
      </w:r>
      <w:r w:rsidR="00751884" w:rsidRPr="003E3E8A">
        <w:rPr>
          <w:rFonts w:ascii="Arial" w:hAnsi="Arial" w:cs="Arial"/>
          <w:i/>
          <w:lang w:val="fr-CA"/>
        </w:rPr>
        <w:t xml:space="preserve">Plan </w:t>
      </w:r>
      <w:r w:rsidRPr="003E3E8A">
        <w:rPr>
          <w:rFonts w:ascii="Arial" w:hAnsi="Arial" w:cs="Arial"/>
          <w:i/>
          <w:lang w:val="fr-CA"/>
        </w:rPr>
        <w:t>pour le</w:t>
      </w:r>
      <w:r w:rsidR="00751884" w:rsidRPr="003E3E8A">
        <w:rPr>
          <w:rFonts w:ascii="Arial" w:hAnsi="Arial" w:cs="Arial"/>
          <w:i/>
          <w:lang w:val="fr-CA"/>
        </w:rPr>
        <w:t xml:space="preserve"> réseau d</w:t>
      </w:r>
      <w:r w:rsidR="006F7F2D" w:rsidRPr="003E3E8A">
        <w:rPr>
          <w:rFonts w:ascii="Arial" w:hAnsi="Arial" w:cs="Arial"/>
          <w:i/>
          <w:lang w:val="fr-CA"/>
        </w:rPr>
        <w:t>’</w:t>
      </w:r>
      <w:r w:rsidR="00751884" w:rsidRPr="003E3E8A">
        <w:rPr>
          <w:rFonts w:ascii="Arial" w:hAnsi="Arial" w:cs="Arial"/>
          <w:i/>
          <w:lang w:val="fr-CA"/>
        </w:rPr>
        <w:t>électricité intégré</w:t>
      </w:r>
      <w:r w:rsidR="00751884" w:rsidRPr="003E3E8A">
        <w:rPr>
          <w:rFonts w:ascii="Arial" w:hAnsi="Arial" w:cs="Arial"/>
          <w:lang w:val="fr-CA"/>
        </w:rPr>
        <w:t xml:space="preserve"> </w:t>
      </w:r>
      <w:r w:rsidR="00843716" w:rsidRPr="003E3E8A">
        <w:rPr>
          <w:rFonts w:ascii="Arial" w:hAnsi="Arial" w:cs="Arial"/>
          <w:lang w:val="fr-CA"/>
        </w:rPr>
        <w:t xml:space="preserve">de </w:t>
      </w:r>
      <w:r w:rsidR="00751884" w:rsidRPr="003E3E8A">
        <w:rPr>
          <w:rFonts w:ascii="Arial" w:hAnsi="Arial" w:cs="Arial"/>
          <w:lang w:val="fr-CA"/>
        </w:rPr>
        <w:t xml:space="preserve">2007 a </w:t>
      </w:r>
      <w:r w:rsidR="0086168B" w:rsidRPr="003E3E8A">
        <w:rPr>
          <w:rFonts w:ascii="Arial" w:hAnsi="Arial" w:cs="Arial"/>
          <w:lang w:val="fr-CA"/>
        </w:rPr>
        <w:t>mis en lumière</w:t>
      </w:r>
      <w:r w:rsidR="00751884" w:rsidRPr="003E3E8A">
        <w:rPr>
          <w:rFonts w:ascii="Arial" w:hAnsi="Arial" w:cs="Arial"/>
          <w:lang w:val="fr-CA"/>
        </w:rPr>
        <w:t xml:space="preserve"> la nécessité d</w:t>
      </w:r>
      <w:r w:rsidR="006F7F2D" w:rsidRPr="003E3E8A">
        <w:rPr>
          <w:rFonts w:ascii="Arial" w:hAnsi="Arial" w:cs="Arial"/>
          <w:lang w:val="fr-CA"/>
        </w:rPr>
        <w:t>’</w:t>
      </w:r>
      <w:r w:rsidR="00751884" w:rsidRPr="003E3E8A">
        <w:rPr>
          <w:rFonts w:ascii="Arial" w:hAnsi="Arial" w:cs="Arial"/>
          <w:lang w:val="fr-CA"/>
        </w:rPr>
        <w:t xml:space="preserve">assurer un approvisionnement </w:t>
      </w:r>
      <w:r w:rsidRPr="003E3E8A">
        <w:rPr>
          <w:rFonts w:ascii="Arial" w:hAnsi="Arial" w:cs="Arial"/>
          <w:lang w:val="fr-CA"/>
        </w:rPr>
        <w:t>suffisant</w:t>
      </w:r>
      <w:r w:rsidR="00843716" w:rsidRPr="003E3E8A">
        <w:rPr>
          <w:rFonts w:ascii="Arial" w:hAnsi="Arial" w:cs="Arial"/>
          <w:lang w:val="fr-CA"/>
        </w:rPr>
        <w:t xml:space="preserve">, de </w:t>
      </w:r>
      <w:r w:rsidR="00716A44" w:rsidRPr="003E3E8A">
        <w:rPr>
          <w:rFonts w:ascii="Arial" w:hAnsi="Arial" w:cs="Arial"/>
          <w:lang w:val="fr-CA"/>
        </w:rPr>
        <w:t xml:space="preserve">doubler </w:t>
      </w:r>
      <w:r w:rsidRPr="003E3E8A">
        <w:rPr>
          <w:rFonts w:ascii="Arial" w:hAnsi="Arial" w:cs="Arial"/>
          <w:lang w:val="fr-CA"/>
        </w:rPr>
        <w:t xml:space="preserve">l’approvisionnement de sources </w:t>
      </w:r>
      <w:r w:rsidR="00716A44" w:rsidRPr="003E3E8A">
        <w:rPr>
          <w:rFonts w:ascii="Arial" w:hAnsi="Arial" w:cs="Arial"/>
          <w:lang w:val="fr-CA"/>
        </w:rPr>
        <w:t>renouvelables</w:t>
      </w:r>
      <w:r w:rsidR="00843716" w:rsidRPr="003E3E8A">
        <w:rPr>
          <w:rFonts w:ascii="Arial" w:hAnsi="Arial" w:cs="Arial"/>
          <w:lang w:val="fr-CA"/>
        </w:rPr>
        <w:t>, de</w:t>
      </w:r>
      <w:r w:rsidR="00716A44" w:rsidRPr="003E3E8A">
        <w:rPr>
          <w:rFonts w:ascii="Arial" w:hAnsi="Arial" w:cs="Arial"/>
          <w:lang w:val="fr-CA"/>
        </w:rPr>
        <w:t xml:space="preserve"> réduire la demande</w:t>
      </w:r>
      <w:r w:rsidR="00843716" w:rsidRPr="003E3E8A">
        <w:rPr>
          <w:rFonts w:ascii="Arial" w:hAnsi="Arial" w:cs="Arial"/>
          <w:lang w:val="fr-CA"/>
        </w:rPr>
        <w:t>, de</w:t>
      </w:r>
      <w:r w:rsidR="00716A44" w:rsidRPr="003E3E8A">
        <w:rPr>
          <w:rFonts w:ascii="Arial" w:hAnsi="Arial" w:cs="Arial"/>
          <w:lang w:val="fr-CA"/>
        </w:rPr>
        <w:t xml:space="preserve"> remplacer le charbon</w:t>
      </w:r>
      <w:r w:rsidR="00843716" w:rsidRPr="003E3E8A">
        <w:rPr>
          <w:rFonts w:ascii="Arial" w:hAnsi="Arial" w:cs="Arial"/>
          <w:lang w:val="fr-CA"/>
        </w:rPr>
        <w:t>, de</w:t>
      </w:r>
      <w:r w:rsidR="00716A44" w:rsidRPr="003E3E8A">
        <w:rPr>
          <w:rFonts w:ascii="Arial" w:hAnsi="Arial" w:cs="Arial"/>
          <w:lang w:val="fr-CA"/>
        </w:rPr>
        <w:t xml:space="preserve"> renforcer le </w:t>
      </w:r>
      <w:r w:rsidRPr="003E3E8A">
        <w:rPr>
          <w:rFonts w:ascii="Arial" w:hAnsi="Arial" w:cs="Arial"/>
          <w:lang w:val="fr-CA"/>
        </w:rPr>
        <w:t>réseau de transport</w:t>
      </w:r>
      <w:r w:rsidR="00716A44" w:rsidRPr="003E3E8A">
        <w:rPr>
          <w:rFonts w:ascii="Arial" w:hAnsi="Arial" w:cs="Arial"/>
          <w:lang w:val="fr-CA"/>
        </w:rPr>
        <w:t xml:space="preserve"> et d</w:t>
      </w:r>
      <w:r w:rsidR="006F7F2D" w:rsidRPr="003E3E8A">
        <w:rPr>
          <w:rFonts w:ascii="Arial" w:hAnsi="Arial" w:cs="Arial"/>
          <w:lang w:val="fr-CA"/>
        </w:rPr>
        <w:t>’</w:t>
      </w:r>
      <w:r w:rsidR="00716A44" w:rsidRPr="003E3E8A">
        <w:rPr>
          <w:rFonts w:ascii="Arial" w:hAnsi="Arial" w:cs="Arial"/>
          <w:lang w:val="fr-CA"/>
        </w:rPr>
        <w:t xml:space="preserve">assurer </w:t>
      </w:r>
      <w:r w:rsidR="00843716" w:rsidRPr="003E3E8A">
        <w:rPr>
          <w:rFonts w:ascii="Arial" w:hAnsi="Arial" w:cs="Arial"/>
          <w:lang w:val="fr-CA"/>
        </w:rPr>
        <w:t xml:space="preserve">la stabilité </w:t>
      </w:r>
      <w:r w:rsidR="00716A44" w:rsidRPr="003E3E8A">
        <w:rPr>
          <w:rFonts w:ascii="Arial" w:hAnsi="Arial" w:cs="Arial"/>
          <w:lang w:val="fr-CA"/>
        </w:rPr>
        <w:t>des prix</w:t>
      </w:r>
      <w:r w:rsidR="00860C43" w:rsidRPr="003E3E8A">
        <w:rPr>
          <w:rFonts w:ascii="Arial" w:hAnsi="Arial" w:cs="Arial"/>
          <w:lang w:val="fr-CA"/>
        </w:rPr>
        <w:t>.</w:t>
      </w:r>
      <w:r w:rsidR="00860C43" w:rsidRPr="003E3E8A">
        <w:rPr>
          <w:rStyle w:val="FootnoteReference"/>
          <w:rFonts w:ascii="Arial" w:hAnsi="Arial" w:cs="Arial"/>
          <w:lang w:val="fr-CA"/>
        </w:rPr>
        <w:footnoteReference w:id="7"/>
      </w:r>
      <w:r w:rsidR="00860C43" w:rsidRPr="003E3E8A">
        <w:rPr>
          <w:rFonts w:ascii="Arial" w:hAnsi="Arial" w:cs="Arial"/>
          <w:lang w:val="fr-CA"/>
        </w:rPr>
        <w:t xml:space="preserve">  </w:t>
      </w:r>
      <w:r w:rsidR="0086168B" w:rsidRPr="003E3E8A">
        <w:rPr>
          <w:rFonts w:ascii="Arial" w:hAnsi="Arial" w:cs="Arial"/>
          <w:lang w:val="fr-CA"/>
        </w:rPr>
        <w:t>Ce plan</w:t>
      </w:r>
      <w:r w:rsidR="00751884" w:rsidRPr="003E3E8A">
        <w:rPr>
          <w:rFonts w:ascii="Arial" w:hAnsi="Arial" w:cs="Arial"/>
          <w:lang w:val="fr-CA"/>
        </w:rPr>
        <w:t xml:space="preserve"> a été renforcé par l</w:t>
      </w:r>
      <w:r w:rsidR="0086168B" w:rsidRPr="003E3E8A">
        <w:rPr>
          <w:rFonts w:ascii="Arial" w:hAnsi="Arial" w:cs="Arial"/>
          <w:lang w:val="fr-CA"/>
        </w:rPr>
        <w:t>’adoption de l</w:t>
      </w:r>
      <w:r w:rsidR="00751884" w:rsidRPr="003E3E8A">
        <w:rPr>
          <w:rFonts w:ascii="Arial" w:hAnsi="Arial" w:cs="Arial"/>
          <w:lang w:val="fr-CA"/>
        </w:rPr>
        <w:t xml:space="preserve">a </w:t>
      </w:r>
      <w:r w:rsidR="00751884" w:rsidRPr="003E3E8A">
        <w:rPr>
          <w:rFonts w:ascii="Arial" w:hAnsi="Arial" w:cs="Arial"/>
          <w:i/>
          <w:lang w:val="fr-CA"/>
        </w:rPr>
        <w:t>Loi sur l</w:t>
      </w:r>
      <w:r w:rsidR="006F7F2D" w:rsidRPr="003E3E8A">
        <w:rPr>
          <w:rFonts w:ascii="Arial" w:hAnsi="Arial" w:cs="Arial"/>
          <w:i/>
          <w:lang w:val="fr-CA"/>
        </w:rPr>
        <w:t>’</w:t>
      </w:r>
      <w:r w:rsidR="00751884" w:rsidRPr="003E3E8A">
        <w:rPr>
          <w:rFonts w:ascii="Arial" w:hAnsi="Arial" w:cs="Arial"/>
          <w:i/>
          <w:lang w:val="fr-CA"/>
        </w:rPr>
        <w:t>énergie verte</w:t>
      </w:r>
      <w:r w:rsidR="00751884" w:rsidRPr="003E3E8A">
        <w:rPr>
          <w:rFonts w:ascii="Arial" w:hAnsi="Arial" w:cs="Arial"/>
          <w:lang w:val="fr-CA"/>
        </w:rPr>
        <w:t xml:space="preserve"> </w:t>
      </w:r>
      <w:r w:rsidR="0086168B" w:rsidRPr="003E3E8A">
        <w:rPr>
          <w:rFonts w:ascii="Arial" w:hAnsi="Arial" w:cs="Arial"/>
          <w:lang w:val="fr-CA"/>
        </w:rPr>
        <w:t>en</w:t>
      </w:r>
      <w:r w:rsidR="00751884" w:rsidRPr="003E3E8A">
        <w:rPr>
          <w:rFonts w:ascii="Arial" w:hAnsi="Arial" w:cs="Arial"/>
          <w:lang w:val="fr-CA"/>
        </w:rPr>
        <w:t xml:space="preserve"> 2009</w:t>
      </w:r>
      <w:r w:rsidR="0086168B" w:rsidRPr="003E3E8A">
        <w:rPr>
          <w:rFonts w:ascii="Arial" w:hAnsi="Arial" w:cs="Arial"/>
          <w:lang w:val="fr-CA"/>
        </w:rPr>
        <w:t xml:space="preserve"> </w:t>
      </w:r>
      <w:r w:rsidR="00751884" w:rsidRPr="003E3E8A">
        <w:rPr>
          <w:rFonts w:ascii="Arial" w:hAnsi="Arial" w:cs="Arial"/>
          <w:lang w:val="fr-CA"/>
        </w:rPr>
        <w:t xml:space="preserve">qui visait à </w:t>
      </w:r>
      <w:r w:rsidR="0014157A" w:rsidRPr="003E3E8A">
        <w:rPr>
          <w:rFonts w:ascii="Arial" w:hAnsi="Arial" w:cs="Arial"/>
          <w:lang w:val="fr-CA"/>
        </w:rPr>
        <w:t>stimuler</w:t>
      </w:r>
      <w:r w:rsidR="00751884" w:rsidRPr="003E3E8A">
        <w:rPr>
          <w:rFonts w:ascii="Arial" w:hAnsi="Arial" w:cs="Arial"/>
          <w:lang w:val="fr-CA"/>
        </w:rPr>
        <w:t xml:space="preserve"> </w:t>
      </w:r>
      <w:r w:rsidR="00716A44" w:rsidRPr="003E3E8A">
        <w:rPr>
          <w:rFonts w:ascii="Arial" w:hAnsi="Arial" w:cs="Arial"/>
          <w:lang w:val="fr-CA"/>
        </w:rPr>
        <w:t xml:space="preserve">la croissance de sources </w:t>
      </w:r>
      <w:r w:rsidR="00843716" w:rsidRPr="003E3E8A">
        <w:rPr>
          <w:rFonts w:ascii="Arial" w:hAnsi="Arial" w:cs="Arial"/>
          <w:lang w:val="fr-CA"/>
        </w:rPr>
        <w:t>d</w:t>
      </w:r>
      <w:r w:rsidR="006F7F2D" w:rsidRPr="003E3E8A">
        <w:rPr>
          <w:rFonts w:ascii="Arial" w:hAnsi="Arial" w:cs="Arial"/>
          <w:lang w:val="fr-CA"/>
        </w:rPr>
        <w:t>’</w:t>
      </w:r>
      <w:r w:rsidR="00843716" w:rsidRPr="003E3E8A">
        <w:rPr>
          <w:rFonts w:ascii="Arial" w:hAnsi="Arial" w:cs="Arial"/>
          <w:lang w:val="fr-CA"/>
        </w:rPr>
        <w:t xml:space="preserve">énergie </w:t>
      </w:r>
      <w:r w:rsidR="00716A44" w:rsidRPr="003E3E8A">
        <w:rPr>
          <w:rFonts w:ascii="Arial" w:hAnsi="Arial" w:cs="Arial"/>
          <w:lang w:val="fr-CA"/>
        </w:rPr>
        <w:t xml:space="preserve">propre et renouvelable, permettant notamment </w:t>
      </w:r>
      <w:r w:rsidR="0014157A" w:rsidRPr="003E3E8A">
        <w:rPr>
          <w:rFonts w:ascii="Arial" w:hAnsi="Arial" w:cs="Arial"/>
          <w:lang w:val="fr-CA"/>
        </w:rPr>
        <w:t xml:space="preserve">de garantir des tarifs de rachat garantis </w:t>
      </w:r>
      <w:r w:rsidR="00716A44" w:rsidRPr="003E3E8A">
        <w:rPr>
          <w:rFonts w:ascii="Arial" w:hAnsi="Arial" w:cs="Arial"/>
          <w:lang w:val="fr-CA"/>
        </w:rPr>
        <w:t xml:space="preserve">pour certains types </w:t>
      </w:r>
      <w:r w:rsidR="00843716" w:rsidRPr="003E3E8A">
        <w:rPr>
          <w:rFonts w:ascii="Arial" w:hAnsi="Arial" w:cs="Arial"/>
          <w:lang w:val="fr-CA"/>
        </w:rPr>
        <w:t>d’électricité</w:t>
      </w:r>
      <w:r w:rsidR="00716A44" w:rsidRPr="003E3E8A">
        <w:rPr>
          <w:rFonts w:ascii="Arial" w:hAnsi="Arial" w:cs="Arial"/>
          <w:lang w:val="fr-CA"/>
        </w:rPr>
        <w:t xml:space="preserve"> et </w:t>
      </w:r>
      <w:r w:rsidR="00843716" w:rsidRPr="003E3E8A">
        <w:rPr>
          <w:rFonts w:ascii="Arial" w:hAnsi="Arial" w:cs="Arial"/>
          <w:lang w:val="fr-CA"/>
        </w:rPr>
        <w:t>de donner à</w:t>
      </w:r>
      <w:r w:rsidR="00716A44" w:rsidRPr="003E3E8A">
        <w:rPr>
          <w:rFonts w:ascii="Arial" w:hAnsi="Arial" w:cs="Arial"/>
          <w:lang w:val="fr-CA"/>
        </w:rPr>
        <w:t xml:space="preserve"> ces sources </w:t>
      </w:r>
      <w:r w:rsidR="00843716" w:rsidRPr="003E3E8A">
        <w:rPr>
          <w:rFonts w:ascii="Arial" w:hAnsi="Arial" w:cs="Arial"/>
          <w:lang w:val="fr-CA"/>
        </w:rPr>
        <w:t>d’électricité</w:t>
      </w:r>
      <w:r w:rsidR="00716A44" w:rsidRPr="003E3E8A">
        <w:rPr>
          <w:rFonts w:ascii="Arial" w:hAnsi="Arial" w:cs="Arial"/>
          <w:lang w:val="fr-CA"/>
        </w:rPr>
        <w:t xml:space="preserve"> </w:t>
      </w:r>
      <w:r w:rsidR="00843716" w:rsidRPr="003E3E8A">
        <w:rPr>
          <w:rFonts w:ascii="Arial" w:hAnsi="Arial" w:cs="Arial"/>
          <w:lang w:val="fr-CA"/>
        </w:rPr>
        <w:t xml:space="preserve">un </w:t>
      </w:r>
      <w:r w:rsidR="0014157A" w:rsidRPr="003E3E8A">
        <w:rPr>
          <w:rFonts w:ascii="Arial" w:hAnsi="Arial" w:cs="Arial"/>
          <w:lang w:val="fr-CA"/>
        </w:rPr>
        <w:t xml:space="preserve">meilleur </w:t>
      </w:r>
      <w:r w:rsidR="00843716" w:rsidRPr="003E3E8A">
        <w:rPr>
          <w:rFonts w:ascii="Arial" w:hAnsi="Arial" w:cs="Arial"/>
          <w:lang w:val="fr-CA"/>
        </w:rPr>
        <w:t xml:space="preserve">accès </w:t>
      </w:r>
      <w:r w:rsidR="0014157A" w:rsidRPr="003E3E8A">
        <w:rPr>
          <w:rFonts w:ascii="Arial" w:hAnsi="Arial" w:cs="Arial"/>
          <w:lang w:val="fr-CA"/>
        </w:rPr>
        <w:t>à l’ensemble du réseau d’électricité</w:t>
      </w:r>
      <w:r w:rsidR="00716A44" w:rsidRPr="003E3E8A">
        <w:rPr>
          <w:rFonts w:ascii="Arial" w:hAnsi="Arial" w:cs="Arial"/>
          <w:lang w:val="fr-CA"/>
        </w:rPr>
        <w:t>.</w:t>
      </w:r>
    </w:p>
    <w:p w:rsidR="00860C43" w:rsidRPr="003E3E8A" w:rsidRDefault="00860C43" w:rsidP="00860C43">
      <w:pPr>
        <w:rPr>
          <w:rFonts w:ascii="Arial" w:hAnsi="Arial" w:cs="Arial"/>
          <w:lang w:val="fr-CA"/>
        </w:rPr>
      </w:pPr>
    </w:p>
    <w:p w:rsidR="00073F8C" w:rsidRPr="003E3E8A" w:rsidRDefault="00751884" w:rsidP="00860C43">
      <w:p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En 2013, 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Ontario a produit 56</w:t>
      </w:r>
      <w:r w:rsidR="006F7F2D" w:rsidRPr="003E3E8A">
        <w:rPr>
          <w:rFonts w:ascii="Arial" w:hAnsi="Arial" w:cs="Arial"/>
          <w:lang w:val="fr-CA"/>
        </w:rPr>
        <w:t> %</w:t>
      </w:r>
      <w:r w:rsidRPr="003E3E8A">
        <w:rPr>
          <w:rFonts w:ascii="Arial" w:hAnsi="Arial" w:cs="Arial"/>
          <w:lang w:val="fr-CA"/>
        </w:rPr>
        <w:t xml:space="preserve"> de </w:t>
      </w:r>
      <w:r w:rsidR="007B1035" w:rsidRPr="003E3E8A">
        <w:rPr>
          <w:rFonts w:ascii="Arial" w:hAnsi="Arial" w:cs="Arial"/>
          <w:lang w:val="fr-CA"/>
        </w:rPr>
        <w:t xml:space="preserve">son électricité </w:t>
      </w:r>
      <w:r w:rsidRPr="003E3E8A">
        <w:rPr>
          <w:rFonts w:ascii="Arial" w:hAnsi="Arial" w:cs="Arial"/>
          <w:lang w:val="fr-CA"/>
        </w:rPr>
        <w:t>à partir de 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énergie nucléaire, 22</w:t>
      </w:r>
      <w:r w:rsidR="006F7F2D" w:rsidRPr="003E3E8A">
        <w:rPr>
          <w:rFonts w:ascii="Arial" w:hAnsi="Arial" w:cs="Arial"/>
          <w:lang w:val="fr-CA"/>
        </w:rPr>
        <w:t> %</w:t>
      </w:r>
      <w:r w:rsidRPr="003E3E8A">
        <w:rPr>
          <w:rFonts w:ascii="Arial" w:hAnsi="Arial" w:cs="Arial"/>
          <w:lang w:val="fr-CA"/>
        </w:rPr>
        <w:t xml:space="preserve"> </w:t>
      </w:r>
      <w:r w:rsidR="00F132AF" w:rsidRPr="003E3E8A">
        <w:rPr>
          <w:rFonts w:ascii="Arial" w:hAnsi="Arial" w:cs="Arial"/>
          <w:lang w:val="fr-CA"/>
        </w:rPr>
        <w:t>de l’hydro-électricité</w:t>
      </w:r>
      <w:r w:rsidRPr="003E3E8A">
        <w:rPr>
          <w:rFonts w:ascii="Arial" w:hAnsi="Arial" w:cs="Arial"/>
          <w:lang w:val="fr-CA"/>
        </w:rPr>
        <w:t>, 10</w:t>
      </w:r>
      <w:r w:rsidR="006F7F2D" w:rsidRPr="003E3E8A">
        <w:rPr>
          <w:rFonts w:ascii="Arial" w:hAnsi="Arial" w:cs="Arial"/>
          <w:lang w:val="fr-CA"/>
        </w:rPr>
        <w:t> %</w:t>
      </w:r>
      <w:r w:rsidRPr="003E3E8A">
        <w:rPr>
          <w:rFonts w:ascii="Arial" w:hAnsi="Arial" w:cs="Arial"/>
          <w:lang w:val="fr-CA"/>
        </w:rPr>
        <w:t xml:space="preserve"> </w:t>
      </w:r>
      <w:r w:rsidR="00F132AF" w:rsidRPr="003E3E8A">
        <w:rPr>
          <w:rFonts w:ascii="Arial" w:hAnsi="Arial" w:cs="Arial"/>
          <w:lang w:val="fr-CA"/>
        </w:rPr>
        <w:t xml:space="preserve">de l’énergie produite </w:t>
      </w:r>
      <w:r w:rsidRPr="003E3E8A">
        <w:rPr>
          <w:rFonts w:ascii="Arial" w:hAnsi="Arial" w:cs="Arial"/>
          <w:lang w:val="fr-CA"/>
        </w:rPr>
        <w:t xml:space="preserve">par le gaz </w:t>
      </w:r>
      <w:r w:rsidR="00F132AF" w:rsidRPr="003E3E8A">
        <w:rPr>
          <w:rFonts w:ascii="Arial" w:hAnsi="Arial" w:cs="Arial"/>
          <w:lang w:val="fr-CA"/>
        </w:rPr>
        <w:t xml:space="preserve">naturel </w:t>
      </w:r>
      <w:r w:rsidRPr="003E3E8A">
        <w:rPr>
          <w:rFonts w:ascii="Arial" w:hAnsi="Arial" w:cs="Arial"/>
          <w:lang w:val="fr-CA"/>
        </w:rPr>
        <w:t>et le pétrole, 3</w:t>
      </w:r>
      <w:r w:rsidR="006F7F2D" w:rsidRPr="003E3E8A">
        <w:rPr>
          <w:rFonts w:ascii="Arial" w:hAnsi="Arial" w:cs="Arial"/>
          <w:lang w:val="fr-CA"/>
        </w:rPr>
        <w:t> %</w:t>
      </w:r>
      <w:r w:rsidRPr="003E3E8A">
        <w:rPr>
          <w:rFonts w:ascii="Arial" w:hAnsi="Arial" w:cs="Arial"/>
          <w:lang w:val="fr-CA"/>
        </w:rPr>
        <w:t xml:space="preserve"> </w:t>
      </w:r>
      <w:r w:rsidR="00F132AF" w:rsidRPr="003E3E8A">
        <w:rPr>
          <w:rFonts w:ascii="Arial" w:hAnsi="Arial" w:cs="Arial"/>
          <w:lang w:val="fr-CA"/>
        </w:rPr>
        <w:t>de l’énergie éolienne</w:t>
      </w:r>
      <w:r w:rsidRPr="003E3E8A">
        <w:rPr>
          <w:rFonts w:ascii="Arial" w:hAnsi="Arial" w:cs="Arial"/>
          <w:lang w:val="fr-CA"/>
        </w:rPr>
        <w:t>, 2</w:t>
      </w:r>
      <w:r w:rsidR="006F7F2D" w:rsidRPr="003E3E8A">
        <w:rPr>
          <w:rFonts w:ascii="Arial" w:hAnsi="Arial" w:cs="Arial"/>
          <w:lang w:val="fr-CA"/>
        </w:rPr>
        <w:t> %</w:t>
      </w:r>
      <w:r w:rsidRPr="003E3E8A">
        <w:rPr>
          <w:rFonts w:ascii="Arial" w:hAnsi="Arial" w:cs="Arial"/>
          <w:lang w:val="fr-CA"/>
        </w:rPr>
        <w:t xml:space="preserve"> </w:t>
      </w:r>
      <w:r w:rsidR="00F132AF" w:rsidRPr="003E3E8A">
        <w:rPr>
          <w:rFonts w:ascii="Arial" w:hAnsi="Arial" w:cs="Arial"/>
          <w:lang w:val="fr-CA"/>
        </w:rPr>
        <w:t xml:space="preserve">de l’énergie du </w:t>
      </w:r>
      <w:r w:rsidRPr="003E3E8A">
        <w:rPr>
          <w:rFonts w:ascii="Arial" w:hAnsi="Arial" w:cs="Arial"/>
          <w:lang w:val="fr-CA"/>
        </w:rPr>
        <w:t>charbon et 7</w:t>
      </w:r>
      <w:r w:rsidR="006F7F2D" w:rsidRPr="003E3E8A">
        <w:rPr>
          <w:rFonts w:ascii="Arial" w:hAnsi="Arial" w:cs="Arial"/>
          <w:lang w:val="fr-CA"/>
        </w:rPr>
        <w:t> %</w:t>
      </w:r>
      <w:r w:rsidRPr="003E3E8A">
        <w:rPr>
          <w:rFonts w:ascii="Arial" w:hAnsi="Arial" w:cs="Arial"/>
          <w:lang w:val="fr-CA"/>
        </w:rPr>
        <w:t xml:space="preserve"> d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autres sources.</w:t>
      </w:r>
      <w:r w:rsidR="007C549A" w:rsidRPr="003E3E8A">
        <w:rPr>
          <w:rFonts w:ascii="Arial" w:hAnsi="Arial" w:cs="Arial"/>
          <w:lang w:val="fr-CA"/>
        </w:rPr>
        <w:t xml:space="preserve"> On </w:t>
      </w:r>
      <w:r w:rsidR="00F132AF" w:rsidRPr="003E3E8A">
        <w:rPr>
          <w:rFonts w:ascii="Arial" w:hAnsi="Arial" w:cs="Arial"/>
          <w:lang w:val="fr-CA"/>
        </w:rPr>
        <w:t>s’attend à ce que</w:t>
      </w:r>
      <w:r w:rsidR="007C549A" w:rsidRPr="003E3E8A">
        <w:rPr>
          <w:rFonts w:ascii="Arial" w:hAnsi="Arial" w:cs="Arial"/>
          <w:lang w:val="fr-CA"/>
        </w:rPr>
        <w:t xml:space="preserve"> cette</w:t>
      </w:r>
      <w:r w:rsidR="00843716" w:rsidRPr="003E3E8A">
        <w:rPr>
          <w:rFonts w:ascii="Arial" w:hAnsi="Arial" w:cs="Arial"/>
          <w:lang w:val="fr-CA"/>
        </w:rPr>
        <w:t xml:space="preserve"> combinaison</w:t>
      </w:r>
      <w:r w:rsidRPr="003E3E8A">
        <w:rPr>
          <w:rFonts w:ascii="Arial" w:hAnsi="Arial" w:cs="Arial"/>
          <w:lang w:val="fr-CA"/>
        </w:rPr>
        <w:t xml:space="preserve"> </w:t>
      </w:r>
      <w:r w:rsidR="00F132AF" w:rsidRPr="003E3E8A">
        <w:rPr>
          <w:rFonts w:ascii="Arial" w:hAnsi="Arial" w:cs="Arial"/>
          <w:lang w:val="fr-CA"/>
        </w:rPr>
        <w:t xml:space="preserve">se maintienne </w:t>
      </w:r>
      <w:r w:rsidRPr="003E3E8A">
        <w:rPr>
          <w:rFonts w:ascii="Arial" w:hAnsi="Arial" w:cs="Arial"/>
          <w:lang w:val="fr-CA"/>
        </w:rPr>
        <w:t>à 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avenir, à 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 xml:space="preserve">exception </w:t>
      </w:r>
      <w:r w:rsidR="00843716" w:rsidRPr="003E3E8A">
        <w:rPr>
          <w:rFonts w:ascii="Arial" w:hAnsi="Arial" w:cs="Arial"/>
          <w:lang w:val="fr-CA"/>
        </w:rPr>
        <w:t>de</w:t>
      </w:r>
      <w:r w:rsidRPr="003E3E8A">
        <w:rPr>
          <w:rFonts w:ascii="Arial" w:hAnsi="Arial" w:cs="Arial"/>
          <w:lang w:val="fr-CA"/>
        </w:rPr>
        <w:t xml:space="preserve"> 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 xml:space="preserve">énergie éolienne </w:t>
      </w:r>
      <w:r w:rsidR="00843716" w:rsidRPr="003E3E8A">
        <w:rPr>
          <w:rFonts w:ascii="Arial" w:hAnsi="Arial" w:cs="Arial"/>
          <w:lang w:val="fr-CA"/>
        </w:rPr>
        <w:t xml:space="preserve">qui </w:t>
      </w:r>
      <w:r w:rsidRPr="003E3E8A">
        <w:rPr>
          <w:rFonts w:ascii="Arial" w:hAnsi="Arial" w:cs="Arial"/>
          <w:lang w:val="fr-CA"/>
        </w:rPr>
        <w:t>devrait remplacer complètement</w:t>
      </w:r>
      <w:r w:rsidR="007C549A" w:rsidRPr="003E3E8A">
        <w:rPr>
          <w:rFonts w:ascii="Arial" w:hAnsi="Arial" w:cs="Arial"/>
          <w:lang w:val="fr-CA"/>
        </w:rPr>
        <w:t xml:space="preserve"> </w:t>
      </w:r>
      <w:r w:rsidR="00716A44" w:rsidRPr="003E3E8A">
        <w:rPr>
          <w:rFonts w:ascii="Arial" w:hAnsi="Arial" w:cs="Arial"/>
          <w:lang w:val="fr-CA"/>
        </w:rPr>
        <w:t xml:space="preserve">le charbon dans </w:t>
      </w:r>
      <w:r w:rsidR="00F132AF" w:rsidRPr="003E3E8A">
        <w:rPr>
          <w:rFonts w:ascii="Arial" w:hAnsi="Arial" w:cs="Arial"/>
          <w:lang w:val="fr-CA"/>
        </w:rPr>
        <w:t>cette</w:t>
      </w:r>
      <w:r w:rsidR="00843716" w:rsidRPr="003E3E8A">
        <w:rPr>
          <w:rFonts w:ascii="Arial" w:hAnsi="Arial" w:cs="Arial"/>
          <w:lang w:val="fr-CA"/>
        </w:rPr>
        <w:t xml:space="preserve"> combinaison</w:t>
      </w:r>
      <w:r w:rsidR="00F132AF" w:rsidRPr="003E3E8A">
        <w:rPr>
          <w:rFonts w:ascii="Arial" w:hAnsi="Arial" w:cs="Arial"/>
          <w:lang w:val="fr-CA"/>
        </w:rPr>
        <w:t xml:space="preserve">. Aussi, l’ensemble des </w:t>
      </w:r>
      <w:r w:rsidR="00716A44" w:rsidRPr="003E3E8A">
        <w:rPr>
          <w:rFonts w:ascii="Arial" w:hAnsi="Arial" w:cs="Arial"/>
          <w:lang w:val="fr-CA"/>
        </w:rPr>
        <w:t>initiatives de conservation de l</w:t>
      </w:r>
      <w:r w:rsidR="006F7F2D" w:rsidRPr="003E3E8A">
        <w:rPr>
          <w:rFonts w:ascii="Arial" w:hAnsi="Arial" w:cs="Arial"/>
          <w:lang w:val="fr-CA"/>
        </w:rPr>
        <w:t>’</w:t>
      </w:r>
      <w:r w:rsidR="00716A44" w:rsidRPr="003E3E8A">
        <w:rPr>
          <w:rFonts w:ascii="Arial" w:hAnsi="Arial" w:cs="Arial"/>
          <w:lang w:val="fr-CA"/>
        </w:rPr>
        <w:t xml:space="preserve">énergie </w:t>
      </w:r>
      <w:r w:rsidR="00F132AF" w:rsidRPr="003E3E8A">
        <w:rPr>
          <w:rFonts w:ascii="Arial" w:hAnsi="Arial" w:cs="Arial"/>
          <w:lang w:val="fr-CA"/>
        </w:rPr>
        <w:t xml:space="preserve">devrait </w:t>
      </w:r>
      <w:r w:rsidR="007C549A" w:rsidRPr="003E3E8A">
        <w:rPr>
          <w:rFonts w:ascii="Arial" w:hAnsi="Arial" w:cs="Arial"/>
          <w:lang w:val="fr-CA"/>
        </w:rPr>
        <w:t>faire diminuer</w:t>
      </w:r>
      <w:r w:rsidR="00716A44" w:rsidRPr="003E3E8A">
        <w:rPr>
          <w:rFonts w:ascii="Arial" w:hAnsi="Arial" w:cs="Arial"/>
          <w:lang w:val="fr-CA"/>
        </w:rPr>
        <w:t xml:space="preserve"> la demande globale</w:t>
      </w:r>
      <w:r w:rsidR="00860C43" w:rsidRPr="003E3E8A">
        <w:rPr>
          <w:rFonts w:ascii="Arial" w:hAnsi="Arial" w:cs="Arial"/>
          <w:lang w:val="fr-CA"/>
        </w:rPr>
        <w:t>.</w:t>
      </w:r>
      <w:r w:rsidR="00860C43" w:rsidRPr="003E3E8A">
        <w:rPr>
          <w:rStyle w:val="FootnoteReference"/>
          <w:rFonts w:ascii="Arial" w:hAnsi="Arial" w:cs="Arial"/>
          <w:lang w:val="fr-CA"/>
        </w:rPr>
        <w:footnoteReference w:id="8"/>
      </w:r>
      <w:r w:rsidR="00860C43" w:rsidRPr="003E3E8A">
        <w:rPr>
          <w:rFonts w:ascii="Arial" w:hAnsi="Arial" w:cs="Arial"/>
          <w:lang w:val="fr-CA"/>
        </w:rPr>
        <w:t xml:space="preserve"> </w:t>
      </w:r>
      <w:r w:rsidR="00097F49" w:rsidRPr="003E3E8A">
        <w:rPr>
          <w:rFonts w:ascii="Arial" w:hAnsi="Arial" w:cs="Arial"/>
          <w:lang w:val="fr-CA"/>
        </w:rPr>
        <w:t xml:space="preserve">Pour </w:t>
      </w:r>
      <w:r w:rsidR="00F132AF" w:rsidRPr="003E3E8A">
        <w:rPr>
          <w:rFonts w:ascii="Arial" w:hAnsi="Arial" w:cs="Arial"/>
          <w:lang w:val="fr-CA"/>
        </w:rPr>
        <w:t>conserver cette combinaison</w:t>
      </w:r>
      <w:r w:rsidR="00097F49" w:rsidRPr="003E3E8A">
        <w:rPr>
          <w:rFonts w:ascii="Arial" w:hAnsi="Arial" w:cs="Arial"/>
          <w:lang w:val="fr-CA"/>
        </w:rPr>
        <w:t xml:space="preserve">, de nouveaux investissements importants seront nécessaires dans </w:t>
      </w:r>
      <w:r w:rsidR="00716A44" w:rsidRPr="003E3E8A">
        <w:rPr>
          <w:rFonts w:ascii="Arial" w:hAnsi="Arial" w:cs="Arial"/>
          <w:lang w:val="fr-CA"/>
        </w:rPr>
        <w:t>l</w:t>
      </w:r>
      <w:r w:rsidR="006F7F2D" w:rsidRPr="003E3E8A">
        <w:rPr>
          <w:rFonts w:ascii="Arial" w:hAnsi="Arial" w:cs="Arial"/>
          <w:lang w:val="fr-CA"/>
        </w:rPr>
        <w:t>’</w:t>
      </w:r>
      <w:r w:rsidR="00716A44" w:rsidRPr="003E3E8A">
        <w:rPr>
          <w:rFonts w:ascii="Arial" w:hAnsi="Arial" w:cs="Arial"/>
          <w:lang w:val="fr-CA"/>
        </w:rPr>
        <w:t>énergie nucléaire, hydroélectrique</w:t>
      </w:r>
      <w:r w:rsidR="00226DE1" w:rsidRPr="003E3E8A">
        <w:rPr>
          <w:rFonts w:ascii="Arial" w:hAnsi="Arial" w:cs="Arial"/>
          <w:lang w:val="fr-CA"/>
        </w:rPr>
        <w:t xml:space="preserve"> et éolienne</w:t>
      </w:r>
      <w:r w:rsidR="00716A44" w:rsidRPr="003E3E8A">
        <w:rPr>
          <w:rFonts w:ascii="Arial" w:hAnsi="Arial" w:cs="Arial"/>
          <w:lang w:val="fr-CA"/>
        </w:rPr>
        <w:t xml:space="preserve">, dont la </w:t>
      </w:r>
      <w:r w:rsidR="00F132AF" w:rsidRPr="003E3E8A">
        <w:rPr>
          <w:rFonts w:ascii="Arial" w:hAnsi="Arial" w:cs="Arial"/>
          <w:lang w:val="fr-CA"/>
        </w:rPr>
        <w:t>majeure partie</w:t>
      </w:r>
      <w:r w:rsidR="00716A44" w:rsidRPr="003E3E8A">
        <w:rPr>
          <w:rFonts w:ascii="Arial" w:hAnsi="Arial" w:cs="Arial"/>
          <w:lang w:val="fr-CA"/>
        </w:rPr>
        <w:t xml:space="preserve"> </w:t>
      </w:r>
      <w:r w:rsidR="00F132AF" w:rsidRPr="003E3E8A">
        <w:rPr>
          <w:rFonts w:ascii="Arial" w:hAnsi="Arial" w:cs="Arial"/>
          <w:lang w:val="fr-CA"/>
        </w:rPr>
        <w:t>proviendra</w:t>
      </w:r>
      <w:r w:rsidR="00716A44" w:rsidRPr="003E3E8A">
        <w:rPr>
          <w:rFonts w:ascii="Arial" w:hAnsi="Arial" w:cs="Arial"/>
          <w:lang w:val="fr-CA"/>
        </w:rPr>
        <w:t xml:space="preserve"> du secteur privé.</w:t>
      </w:r>
      <w:r w:rsidR="009E56B3" w:rsidRPr="003E3E8A">
        <w:rPr>
          <w:rFonts w:ascii="Arial" w:hAnsi="Arial" w:cs="Arial"/>
          <w:lang w:val="fr-CA"/>
        </w:rPr>
        <w:t xml:space="preserve"> </w:t>
      </w:r>
      <w:r w:rsidR="00716A44" w:rsidRPr="003E3E8A">
        <w:rPr>
          <w:rFonts w:ascii="Arial" w:hAnsi="Arial" w:cs="Arial"/>
          <w:lang w:val="fr-CA"/>
        </w:rPr>
        <w:t>Par exemple, depuis 2003</w:t>
      </w:r>
      <w:r w:rsidR="009E56B3" w:rsidRPr="003E3E8A">
        <w:rPr>
          <w:rFonts w:ascii="Arial" w:hAnsi="Arial" w:cs="Arial"/>
          <w:lang w:val="fr-CA"/>
        </w:rPr>
        <w:t>,</w:t>
      </w:r>
      <w:r w:rsidR="00716A44" w:rsidRPr="003E3E8A">
        <w:rPr>
          <w:rFonts w:ascii="Arial" w:hAnsi="Arial" w:cs="Arial"/>
          <w:lang w:val="fr-CA"/>
        </w:rPr>
        <w:t xml:space="preserve"> l</w:t>
      </w:r>
      <w:r w:rsidR="006F7F2D" w:rsidRPr="003E3E8A">
        <w:rPr>
          <w:rFonts w:ascii="Arial" w:hAnsi="Arial" w:cs="Arial"/>
          <w:lang w:val="fr-CA"/>
        </w:rPr>
        <w:t>’</w:t>
      </w:r>
      <w:r w:rsidR="00716A44" w:rsidRPr="003E3E8A">
        <w:rPr>
          <w:rFonts w:ascii="Arial" w:hAnsi="Arial" w:cs="Arial"/>
          <w:lang w:val="fr-CA"/>
        </w:rPr>
        <w:t>Ontario a signé plus de 16</w:t>
      </w:r>
      <w:r w:rsidR="0026257B" w:rsidRPr="003E3E8A">
        <w:rPr>
          <w:rFonts w:ascii="Arial" w:hAnsi="Arial" w:cs="Arial"/>
          <w:lang w:val="fr-CA"/>
        </w:rPr>
        <w:t> </w:t>
      </w:r>
      <w:r w:rsidR="00716A44" w:rsidRPr="003E3E8A">
        <w:rPr>
          <w:rFonts w:ascii="Arial" w:hAnsi="Arial" w:cs="Arial"/>
          <w:lang w:val="fr-CA"/>
        </w:rPr>
        <w:t>000</w:t>
      </w:r>
      <w:r w:rsidR="0026257B" w:rsidRPr="003E3E8A">
        <w:rPr>
          <w:rFonts w:ascii="Arial" w:hAnsi="Arial" w:cs="Arial"/>
          <w:lang w:val="fr-CA"/>
        </w:rPr>
        <w:t> </w:t>
      </w:r>
      <w:r w:rsidR="00716A44" w:rsidRPr="003E3E8A">
        <w:rPr>
          <w:rFonts w:ascii="Arial" w:hAnsi="Arial" w:cs="Arial"/>
          <w:lang w:val="fr-CA"/>
        </w:rPr>
        <w:t>contrats d</w:t>
      </w:r>
      <w:r w:rsidR="006F7F2D" w:rsidRPr="003E3E8A">
        <w:rPr>
          <w:rFonts w:ascii="Arial" w:hAnsi="Arial" w:cs="Arial"/>
          <w:lang w:val="fr-CA"/>
        </w:rPr>
        <w:t>’</w:t>
      </w:r>
      <w:r w:rsidR="00716A44" w:rsidRPr="003E3E8A">
        <w:rPr>
          <w:rFonts w:ascii="Arial" w:hAnsi="Arial" w:cs="Arial"/>
          <w:lang w:val="fr-CA"/>
        </w:rPr>
        <w:t xml:space="preserve">approvisionnement en énergie </w:t>
      </w:r>
      <w:r w:rsidR="007C549A" w:rsidRPr="003E3E8A">
        <w:rPr>
          <w:rFonts w:ascii="Arial" w:hAnsi="Arial" w:cs="Arial"/>
          <w:lang w:val="fr-CA"/>
        </w:rPr>
        <w:t xml:space="preserve">renouvelable </w:t>
      </w:r>
      <w:r w:rsidR="00716A44" w:rsidRPr="003E3E8A">
        <w:rPr>
          <w:rFonts w:ascii="Arial" w:hAnsi="Arial" w:cs="Arial"/>
          <w:lang w:val="fr-CA"/>
        </w:rPr>
        <w:t xml:space="preserve">pour </w:t>
      </w:r>
      <w:r w:rsidR="00B46FDC" w:rsidRPr="003E3E8A">
        <w:rPr>
          <w:rFonts w:ascii="Arial" w:hAnsi="Arial" w:cs="Arial"/>
          <w:lang w:val="fr-CA"/>
        </w:rPr>
        <w:t xml:space="preserve">la réalisation de </w:t>
      </w:r>
      <w:r w:rsidR="007C549A" w:rsidRPr="003E3E8A">
        <w:rPr>
          <w:rFonts w:ascii="Arial" w:hAnsi="Arial" w:cs="Arial"/>
          <w:lang w:val="fr-CA"/>
        </w:rPr>
        <w:t>projets d’énergie éolienne, hydroélectrique, solaire et bioénergétique</w:t>
      </w:r>
      <w:r w:rsidR="00716A44" w:rsidRPr="003E3E8A">
        <w:rPr>
          <w:rFonts w:ascii="Arial" w:hAnsi="Arial" w:cs="Arial"/>
          <w:lang w:val="fr-CA"/>
        </w:rPr>
        <w:t xml:space="preserve">. </w:t>
      </w:r>
      <w:r w:rsidR="00F132AF" w:rsidRPr="003E3E8A">
        <w:rPr>
          <w:rFonts w:ascii="Arial" w:hAnsi="Arial" w:cs="Arial"/>
          <w:lang w:val="fr-CA"/>
        </w:rPr>
        <w:t>Ces derniers comprennent des</w:t>
      </w:r>
      <w:r w:rsidRPr="003E3E8A">
        <w:rPr>
          <w:rFonts w:ascii="Arial" w:hAnsi="Arial" w:cs="Arial"/>
          <w:lang w:val="fr-CA"/>
        </w:rPr>
        <w:t xml:space="preserve"> projets </w:t>
      </w:r>
      <w:r w:rsidR="00F132AF" w:rsidRPr="003E3E8A">
        <w:rPr>
          <w:rFonts w:ascii="Arial" w:hAnsi="Arial" w:cs="Arial"/>
          <w:lang w:val="fr-CA"/>
        </w:rPr>
        <w:t xml:space="preserve">d’échelle variable réalisés par des </w:t>
      </w:r>
      <w:r w:rsidRPr="003E3E8A">
        <w:rPr>
          <w:rFonts w:ascii="Arial" w:hAnsi="Arial" w:cs="Arial"/>
          <w:lang w:val="fr-CA"/>
        </w:rPr>
        <w:t>entreprise</w:t>
      </w:r>
      <w:r w:rsidR="00843716" w:rsidRPr="003E3E8A">
        <w:rPr>
          <w:rFonts w:ascii="Arial" w:hAnsi="Arial" w:cs="Arial"/>
          <w:lang w:val="fr-CA"/>
        </w:rPr>
        <w:t>s</w:t>
      </w:r>
      <w:r w:rsidRPr="003E3E8A">
        <w:rPr>
          <w:rFonts w:ascii="Arial" w:hAnsi="Arial" w:cs="Arial"/>
          <w:lang w:val="fr-CA"/>
        </w:rPr>
        <w:t xml:space="preserve"> et </w:t>
      </w:r>
      <w:r w:rsidR="00F132AF" w:rsidRPr="003E3E8A">
        <w:rPr>
          <w:rFonts w:ascii="Arial" w:hAnsi="Arial" w:cs="Arial"/>
          <w:lang w:val="fr-CA"/>
        </w:rPr>
        <w:t xml:space="preserve">des membres de la </w:t>
      </w:r>
      <w:r w:rsidRPr="003E3E8A">
        <w:rPr>
          <w:rFonts w:ascii="Arial" w:hAnsi="Arial" w:cs="Arial"/>
          <w:lang w:val="fr-CA"/>
        </w:rPr>
        <w:t>communauté</w:t>
      </w:r>
      <w:r w:rsidR="00F132AF" w:rsidRPr="003E3E8A">
        <w:rPr>
          <w:rFonts w:ascii="Arial" w:hAnsi="Arial" w:cs="Arial"/>
          <w:lang w:val="fr-CA"/>
        </w:rPr>
        <w:t xml:space="preserve">, notamment des </w:t>
      </w:r>
      <w:r w:rsidR="00843716" w:rsidRPr="003E3E8A">
        <w:rPr>
          <w:rFonts w:ascii="Arial" w:hAnsi="Arial" w:cs="Arial"/>
          <w:lang w:val="fr-CA"/>
        </w:rPr>
        <w:t xml:space="preserve">« micro » </w:t>
      </w:r>
      <w:r w:rsidRPr="003E3E8A">
        <w:rPr>
          <w:rFonts w:ascii="Arial" w:hAnsi="Arial" w:cs="Arial"/>
          <w:lang w:val="fr-CA"/>
        </w:rPr>
        <w:t>projets</w:t>
      </w:r>
      <w:r w:rsidR="00843716" w:rsidRPr="003E3E8A">
        <w:rPr>
          <w:rFonts w:ascii="Arial" w:hAnsi="Arial" w:cs="Arial"/>
          <w:lang w:val="fr-CA"/>
        </w:rPr>
        <w:t xml:space="preserve"> </w:t>
      </w:r>
      <w:r w:rsidR="00F132AF" w:rsidRPr="003E3E8A">
        <w:rPr>
          <w:rFonts w:ascii="Arial" w:hAnsi="Arial" w:cs="Arial"/>
          <w:lang w:val="fr-CA"/>
        </w:rPr>
        <w:t xml:space="preserve">réalisés par des </w:t>
      </w:r>
      <w:r w:rsidRPr="003E3E8A">
        <w:rPr>
          <w:rFonts w:ascii="Arial" w:hAnsi="Arial" w:cs="Arial"/>
          <w:lang w:val="fr-CA"/>
        </w:rPr>
        <w:t xml:space="preserve">propriétaires, </w:t>
      </w:r>
      <w:r w:rsidR="00F132AF" w:rsidRPr="003E3E8A">
        <w:rPr>
          <w:rFonts w:ascii="Arial" w:hAnsi="Arial" w:cs="Arial"/>
          <w:lang w:val="fr-CA"/>
        </w:rPr>
        <w:t>d</w:t>
      </w:r>
      <w:r w:rsidRPr="003E3E8A">
        <w:rPr>
          <w:rFonts w:ascii="Arial" w:hAnsi="Arial" w:cs="Arial"/>
          <w:lang w:val="fr-CA"/>
        </w:rPr>
        <w:t xml:space="preserve">es agriculteurs </w:t>
      </w:r>
      <w:r w:rsidR="00716A44" w:rsidRPr="003E3E8A">
        <w:rPr>
          <w:rFonts w:ascii="Arial" w:hAnsi="Arial" w:cs="Arial"/>
          <w:lang w:val="fr-CA"/>
        </w:rPr>
        <w:t xml:space="preserve">et </w:t>
      </w:r>
      <w:r w:rsidR="00F132AF" w:rsidRPr="003E3E8A">
        <w:rPr>
          <w:rFonts w:ascii="Arial" w:hAnsi="Arial" w:cs="Arial"/>
          <w:lang w:val="fr-CA"/>
        </w:rPr>
        <w:t xml:space="preserve">de </w:t>
      </w:r>
      <w:r w:rsidR="00716A44" w:rsidRPr="003E3E8A">
        <w:rPr>
          <w:rFonts w:ascii="Arial" w:hAnsi="Arial" w:cs="Arial"/>
          <w:lang w:val="fr-CA"/>
        </w:rPr>
        <w:t>petites entreprises</w:t>
      </w:r>
      <w:r w:rsidR="00843716" w:rsidRPr="003E3E8A">
        <w:rPr>
          <w:rFonts w:ascii="Arial" w:hAnsi="Arial" w:cs="Arial"/>
          <w:lang w:val="fr-CA"/>
        </w:rPr>
        <w:t xml:space="preserve">, ainsi qu’un </w:t>
      </w:r>
      <w:r w:rsidR="00716A44" w:rsidRPr="003E3E8A">
        <w:rPr>
          <w:rFonts w:ascii="Arial" w:hAnsi="Arial" w:cs="Arial"/>
          <w:lang w:val="fr-CA"/>
        </w:rPr>
        <w:t xml:space="preserve">accord </w:t>
      </w:r>
      <w:r w:rsidR="00F132AF" w:rsidRPr="003E3E8A">
        <w:rPr>
          <w:rFonts w:ascii="Arial" w:hAnsi="Arial" w:cs="Arial"/>
          <w:lang w:val="fr-CA"/>
        </w:rPr>
        <w:t xml:space="preserve">d’envergure </w:t>
      </w:r>
      <w:r w:rsidR="00716A44" w:rsidRPr="003E3E8A">
        <w:rPr>
          <w:rFonts w:ascii="Arial" w:hAnsi="Arial" w:cs="Arial"/>
          <w:lang w:val="fr-CA"/>
        </w:rPr>
        <w:t>de 7</w:t>
      </w:r>
      <w:r w:rsidR="00F132AF" w:rsidRPr="003E3E8A">
        <w:rPr>
          <w:rFonts w:ascii="Arial" w:hAnsi="Arial" w:cs="Arial"/>
          <w:lang w:val="fr-CA"/>
        </w:rPr>
        <w:t> </w:t>
      </w:r>
      <w:r w:rsidR="00716A44" w:rsidRPr="003E3E8A">
        <w:rPr>
          <w:rFonts w:ascii="Arial" w:hAnsi="Arial" w:cs="Arial"/>
          <w:lang w:val="fr-CA"/>
        </w:rPr>
        <w:t xml:space="preserve">milliards </w:t>
      </w:r>
      <w:r w:rsidR="00F132AF" w:rsidRPr="003E3E8A">
        <w:rPr>
          <w:rFonts w:ascii="Arial" w:hAnsi="Arial" w:cs="Arial"/>
          <w:lang w:val="fr-CA"/>
        </w:rPr>
        <w:t xml:space="preserve">de dollars conclu </w:t>
      </w:r>
      <w:r w:rsidR="00716A44" w:rsidRPr="003E3E8A">
        <w:rPr>
          <w:rFonts w:ascii="Arial" w:hAnsi="Arial" w:cs="Arial"/>
          <w:lang w:val="fr-CA"/>
        </w:rPr>
        <w:t xml:space="preserve">avec </w:t>
      </w:r>
      <w:r w:rsidR="00F132AF" w:rsidRPr="003E3E8A">
        <w:rPr>
          <w:rFonts w:ascii="Arial" w:hAnsi="Arial" w:cs="Arial"/>
          <w:lang w:val="fr-CA"/>
        </w:rPr>
        <w:t xml:space="preserve">la société </w:t>
      </w:r>
      <w:r w:rsidR="00716A44" w:rsidRPr="003E3E8A">
        <w:rPr>
          <w:rFonts w:ascii="Arial" w:hAnsi="Arial" w:cs="Arial"/>
          <w:lang w:val="fr-CA"/>
        </w:rPr>
        <w:t xml:space="preserve">Samsung pour la </w:t>
      </w:r>
      <w:r w:rsidR="00843716" w:rsidRPr="003E3E8A">
        <w:rPr>
          <w:rFonts w:ascii="Arial" w:hAnsi="Arial" w:cs="Arial"/>
          <w:lang w:val="fr-CA"/>
        </w:rPr>
        <w:t>réalisation</w:t>
      </w:r>
      <w:r w:rsidR="00716A44" w:rsidRPr="003E3E8A">
        <w:rPr>
          <w:rFonts w:ascii="Arial" w:hAnsi="Arial" w:cs="Arial"/>
          <w:lang w:val="fr-CA"/>
        </w:rPr>
        <w:t xml:space="preserve"> de grands projets solaires et éoliens</w:t>
      </w:r>
      <w:r w:rsidR="00860C43" w:rsidRPr="003E3E8A">
        <w:rPr>
          <w:rFonts w:ascii="Arial" w:hAnsi="Arial" w:cs="Arial"/>
          <w:lang w:val="fr-CA"/>
        </w:rPr>
        <w:t>.</w:t>
      </w:r>
      <w:r w:rsidR="00860C43" w:rsidRPr="003E3E8A">
        <w:rPr>
          <w:rStyle w:val="FootnoteReference"/>
          <w:rFonts w:ascii="Arial" w:hAnsi="Arial" w:cs="Arial"/>
          <w:lang w:val="fr-CA"/>
        </w:rPr>
        <w:footnoteReference w:id="9"/>
      </w:r>
    </w:p>
    <w:p w:rsidR="0026257B" w:rsidRPr="008409B8" w:rsidRDefault="00860C43" w:rsidP="008409B8">
      <w:pPr>
        <w:pStyle w:val="Heading1"/>
      </w:pPr>
      <w:bookmarkStart w:id="4" w:name="_Toc469918977"/>
      <w:r w:rsidRPr="003E3E8A">
        <w:t xml:space="preserve">3. </w:t>
      </w:r>
      <w:r w:rsidR="006A0C7D" w:rsidRPr="003E3E8A">
        <w:t>Analyse des collections des Archives publiques de l’Ontario</w:t>
      </w:r>
      <w:bookmarkEnd w:id="4"/>
    </w:p>
    <w:p w:rsidR="00860C43" w:rsidRPr="003E3E8A" w:rsidRDefault="006A0C7D" w:rsidP="00860C43">
      <w:p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 xml:space="preserve">Lors de l’examen des collections des Archives publiques de l’Ontario, une recherche </w:t>
      </w:r>
      <w:r w:rsidR="00024AE7">
        <w:rPr>
          <w:rFonts w:ascii="Arial" w:hAnsi="Arial" w:cs="Arial"/>
          <w:lang w:val="fr-CA"/>
        </w:rPr>
        <w:t>dans</w:t>
      </w:r>
      <w:r w:rsidRPr="003E3E8A">
        <w:rPr>
          <w:rFonts w:ascii="Arial" w:hAnsi="Arial" w:cs="Arial"/>
          <w:lang w:val="fr-CA"/>
        </w:rPr>
        <w:t xml:space="preserve"> la base des données descriptives des archives a été entreprise pour déterminer quels documents avaient été acquis auprès du secteur privé et complétaient les fonctions du gouvernement en matière d’administration et de réglementation de l’énergie</w:t>
      </w:r>
      <w:r w:rsidR="00860C43" w:rsidRPr="003E3E8A">
        <w:rPr>
          <w:rFonts w:ascii="Arial" w:hAnsi="Arial" w:cs="Arial"/>
          <w:lang w:val="fr-CA"/>
        </w:rPr>
        <w:t xml:space="preserve">. </w:t>
      </w:r>
      <w:r w:rsidRPr="003E3E8A">
        <w:rPr>
          <w:rFonts w:ascii="Arial" w:hAnsi="Arial" w:cs="Arial"/>
          <w:lang w:val="fr-CA"/>
        </w:rPr>
        <w:t xml:space="preserve">Cette recherche a révélé que les collections des Archives publiques contenaient seulement un petit nombre de documents privés </w:t>
      </w:r>
      <w:r w:rsidR="008E6D2A" w:rsidRPr="003E3E8A">
        <w:rPr>
          <w:rFonts w:ascii="Arial" w:hAnsi="Arial" w:cs="Arial"/>
          <w:lang w:val="fr-CA"/>
        </w:rPr>
        <w:t xml:space="preserve">qui documentent certaines des fonctions exercées par le </w:t>
      </w:r>
      <w:r w:rsidR="005C40A6" w:rsidRPr="003E3E8A">
        <w:rPr>
          <w:rFonts w:ascii="Arial" w:hAnsi="Arial" w:cs="Arial"/>
          <w:lang w:val="fr-CA"/>
        </w:rPr>
        <w:t>ministère de l’Énergie et ses organismes</w:t>
      </w:r>
      <w:r w:rsidR="00860C43" w:rsidRPr="003E3E8A">
        <w:rPr>
          <w:rFonts w:ascii="Arial" w:hAnsi="Arial" w:cs="Arial"/>
          <w:lang w:val="fr-CA"/>
        </w:rPr>
        <w:t>.</w:t>
      </w:r>
    </w:p>
    <w:p w:rsidR="00860C43" w:rsidRPr="003E3E8A" w:rsidRDefault="00860C43" w:rsidP="00860C43">
      <w:pPr>
        <w:rPr>
          <w:rFonts w:ascii="Arial" w:hAnsi="Arial" w:cs="Arial"/>
          <w:bCs/>
          <w:lang w:val="fr-CA"/>
        </w:rPr>
      </w:pPr>
    </w:p>
    <w:p w:rsidR="00860C43" w:rsidRPr="003E3E8A" w:rsidRDefault="00CF0D93" w:rsidP="00860C43">
      <w:p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Les</w:t>
      </w:r>
      <w:r w:rsidR="006A0C7D" w:rsidRPr="003E3E8A">
        <w:rPr>
          <w:rFonts w:ascii="Arial" w:hAnsi="Arial" w:cs="Arial"/>
          <w:lang w:val="fr-CA"/>
        </w:rPr>
        <w:t xml:space="preserve"> Archives </w:t>
      </w:r>
      <w:r w:rsidRPr="003E3E8A">
        <w:rPr>
          <w:rFonts w:ascii="Arial" w:hAnsi="Arial" w:cs="Arial"/>
          <w:lang w:val="fr-CA"/>
        </w:rPr>
        <w:t>publiques de l’</w:t>
      </w:r>
      <w:r w:rsidR="006A0C7D" w:rsidRPr="003E3E8A">
        <w:rPr>
          <w:rFonts w:ascii="Arial" w:hAnsi="Arial" w:cs="Arial"/>
          <w:lang w:val="fr-CA"/>
        </w:rPr>
        <w:t>Ontario indiquent que les trois fonctions fondamentales du Ministère sont les suivantes </w:t>
      </w:r>
      <w:r w:rsidR="00226DE1" w:rsidRPr="003E3E8A">
        <w:rPr>
          <w:rFonts w:ascii="Arial" w:hAnsi="Arial" w:cs="Arial"/>
          <w:lang w:val="fr-CA"/>
        </w:rPr>
        <w:t>:</w:t>
      </w:r>
    </w:p>
    <w:p w:rsidR="00860C43" w:rsidRPr="003E3E8A" w:rsidRDefault="00860C43" w:rsidP="00860C43">
      <w:pPr>
        <w:rPr>
          <w:rFonts w:ascii="Arial" w:hAnsi="Arial" w:cs="Arial"/>
          <w:lang w:val="fr-CA"/>
        </w:rPr>
      </w:pPr>
    </w:p>
    <w:p w:rsidR="00860C43" w:rsidRPr="003E3E8A" w:rsidRDefault="00382255" w:rsidP="00382255">
      <w:pPr>
        <w:numPr>
          <w:ilvl w:val="0"/>
          <w:numId w:val="1"/>
        </w:numPr>
        <w:rPr>
          <w:rFonts w:ascii="Arial" w:hAnsi="Arial" w:cs="Arial"/>
          <w:bCs/>
          <w:iCs/>
          <w:lang w:val="fr-CA"/>
        </w:rPr>
      </w:pPr>
      <w:r w:rsidRPr="003E3E8A">
        <w:rPr>
          <w:rFonts w:ascii="Arial" w:hAnsi="Arial" w:cs="Arial"/>
          <w:bCs/>
          <w:iCs/>
          <w:lang w:val="fr-CA"/>
        </w:rPr>
        <w:t>Gestion de l</w:t>
      </w:r>
      <w:r w:rsidR="006F7F2D" w:rsidRPr="003E3E8A">
        <w:rPr>
          <w:rFonts w:ascii="Arial" w:hAnsi="Arial" w:cs="Arial"/>
          <w:bCs/>
          <w:iCs/>
          <w:lang w:val="fr-CA"/>
        </w:rPr>
        <w:t>’</w:t>
      </w:r>
      <w:r w:rsidRPr="003E3E8A">
        <w:rPr>
          <w:rFonts w:ascii="Arial" w:hAnsi="Arial" w:cs="Arial"/>
          <w:bCs/>
          <w:iCs/>
          <w:lang w:val="fr-CA"/>
        </w:rPr>
        <w:t>approvisionnement en énergie</w:t>
      </w:r>
    </w:p>
    <w:p w:rsidR="00860C43" w:rsidRPr="003E3E8A" w:rsidRDefault="00382255" w:rsidP="0038225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 xml:space="preserve">Promotion de </w:t>
      </w:r>
      <w:r w:rsidR="0086168B" w:rsidRPr="003E3E8A">
        <w:rPr>
          <w:rFonts w:ascii="Arial" w:hAnsi="Arial" w:cs="Arial"/>
          <w:lang w:val="fr-CA"/>
        </w:rPr>
        <w:t>la conservation</w:t>
      </w:r>
      <w:r w:rsidRPr="003E3E8A">
        <w:rPr>
          <w:rFonts w:ascii="Arial" w:hAnsi="Arial" w:cs="Arial"/>
          <w:lang w:val="fr-CA"/>
        </w:rPr>
        <w:t xml:space="preserve"> </w:t>
      </w:r>
      <w:r w:rsidR="00E2065F" w:rsidRPr="003E3E8A">
        <w:rPr>
          <w:rFonts w:ascii="Arial" w:hAnsi="Arial" w:cs="Arial"/>
          <w:lang w:val="fr-CA"/>
        </w:rPr>
        <w:t>d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énergie</w:t>
      </w:r>
    </w:p>
    <w:p w:rsidR="00860C43" w:rsidRPr="003E3E8A" w:rsidRDefault="00226DE1" w:rsidP="0038225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R</w:t>
      </w:r>
      <w:r w:rsidR="00382255" w:rsidRPr="003E3E8A">
        <w:rPr>
          <w:rFonts w:ascii="Arial" w:hAnsi="Arial" w:cs="Arial"/>
          <w:lang w:val="fr-CA"/>
        </w:rPr>
        <w:t>églementation du secteur de l</w:t>
      </w:r>
      <w:r w:rsidR="006F7F2D" w:rsidRPr="003E3E8A">
        <w:rPr>
          <w:rFonts w:ascii="Arial" w:hAnsi="Arial" w:cs="Arial"/>
          <w:lang w:val="fr-CA"/>
        </w:rPr>
        <w:t>’</w:t>
      </w:r>
      <w:r w:rsidR="00382255" w:rsidRPr="003E3E8A">
        <w:rPr>
          <w:rFonts w:ascii="Arial" w:hAnsi="Arial" w:cs="Arial"/>
          <w:lang w:val="fr-CA"/>
        </w:rPr>
        <w:t>énergie</w:t>
      </w:r>
    </w:p>
    <w:p w:rsidR="00860C43" w:rsidRPr="003E3E8A" w:rsidRDefault="00860C43" w:rsidP="00860C43">
      <w:pPr>
        <w:rPr>
          <w:rFonts w:ascii="Arial" w:hAnsi="Arial" w:cs="Arial"/>
          <w:bCs/>
          <w:iCs/>
          <w:lang w:val="fr-CA"/>
        </w:rPr>
      </w:pPr>
    </w:p>
    <w:p w:rsidR="00CC3BC7" w:rsidRPr="003E3E8A" w:rsidRDefault="005C40A6" w:rsidP="00860C43">
      <w:pPr>
        <w:rPr>
          <w:rFonts w:ascii="Arial" w:hAnsi="Arial" w:cs="Arial"/>
          <w:bCs/>
          <w:iCs/>
          <w:lang w:val="fr-CA"/>
        </w:rPr>
      </w:pPr>
      <w:r w:rsidRPr="003E3E8A">
        <w:rPr>
          <w:rFonts w:ascii="Arial" w:hAnsi="Arial" w:cs="Arial"/>
          <w:bCs/>
          <w:iCs/>
          <w:lang w:val="fr-CA"/>
        </w:rPr>
        <w:t xml:space="preserve">Les collections des Archives contiennent </w:t>
      </w:r>
      <w:r w:rsidR="007C549A" w:rsidRPr="003E3E8A">
        <w:rPr>
          <w:rFonts w:ascii="Arial" w:hAnsi="Arial" w:cs="Arial"/>
          <w:bCs/>
          <w:iCs/>
          <w:lang w:val="fr-CA"/>
        </w:rPr>
        <w:t>peu de</w:t>
      </w:r>
      <w:r w:rsidR="00227D6B" w:rsidRPr="003E3E8A">
        <w:rPr>
          <w:rFonts w:ascii="Arial" w:hAnsi="Arial" w:cs="Arial"/>
          <w:bCs/>
          <w:iCs/>
          <w:lang w:val="fr-CA"/>
        </w:rPr>
        <w:t xml:space="preserve"> </w:t>
      </w:r>
      <w:r w:rsidRPr="003E3E8A">
        <w:rPr>
          <w:rFonts w:ascii="Arial" w:hAnsi="Arial" w:cs="Arial"/>
          <w:bCs/>
          <w:iCs/>
          <w:lang w:val="fr-CA"/>
        </w:rPr>
        <w:t xml:space="preserve">documents </w:t>
      </w:r>
      <w:r w:rsidR="00227D6B" w:rsidRPr="003E3E8A">
        <w:rPr>
          <w:rFonts w:ascii="Arial" w:hAnsi="Arial" w:cs="Arial"/>
          <w:bCs/>
          <w:iCs/>
          <w:lang w:val="fr-CA"/>
        </w:rPr>
        <w:t>privés</w:t>
      </w:r>
      <w:r w:rsidR="00E2065F" w:rsidRPr="003E3E8A">
        <w:rPr>
          <w:rFonts w:ascii="Arial" w:hAnsi="Arial" w:cs="Arial"/>
          <w:bCs/>
          <w:iCs/>
          <w:lang w:val="fr-CA"/>
        </w:rPr>
        <w:t xml:space="preserve"> ou,</w:t>
      </w:r>
      <w:r w:rsidR="00735DD8" w:rsidRPr="003E3E8A">
        <w:rPr>
          <w:rFonts w:ascii="Arial" w:hAnsi="Arial" w:cs="Arial"/>
          <w:bCs/>
          <w:iCs/>
          <w:lang w:val="fr-CA"/>
        </w:rPr>
        <w:t xml:space="preserve"> </w:t>
      </w:r>
      <w:r w:rsidRPr="003E3E8A">
        <w:rPr>
          <w:rFonts w:ascii="Arial" w:hAnsi="Arial" w:cs="Arial"/>
          <w:bCs/>
          <w:iCs/>
          <w:lang w:val="fr-CA"/>
        </w:rPr>
        <w:t xml:space="preserve">tout </w:t>
      </w:r>
      <w:r w:rsidR="00382255" w:rsidRPr="003E3E8A">
        <w:rPr>
          <w:rFonts w:ascii="Arial" w:hAnsi="Arial" w:cs="Arial"/>
          <w:bCs/>
          <w:iCs/>
          <w:lang w:val="fr-CA"/>
        </w:rPr>
        <w:t xml:space="preserve">au mieux, </w:t>
      </w:r>
      <w:r w:rsidRPr="003E3E8A">
        <w:rPr>
          <w:rFonts w:ascii="Arial" w:hAnsi="Arial" w:cs="Arial"/>
          <w:bCs/>
          <w:iCs/>
          <w:lang w:val="fr-CA"/>
        </w:rPr>
        <w:t xml:space="preserve">ces documents </w:t>
      </w:r>
      <w:r w:rsidR="007C549A" w:rsidRPr="003E3E8A">
        <w:rPr>
          <w:rFonts w:ascii="Arial" w:hAnsi="Arial" w:cs="Arial"/>
          <w:bCs/>
          <w:iCs/>
          <w:lang w:val="fr-CA"/>
        </w:rPr>
        <w:t xml:space="preserve">sont </w:t>
      </w:r>
      <w:r w:rsidR="00382255" w:rsidRPr="003E3E8A">
        <w:rPr>
          <w:rFonts w:ascii="Arial" w:hAnsi="Arial" w:cs="Arial"/>
          <w:bCs/>
          <w:iCs/>
          <w:lang w:val="fr-CA"/>
        </w:rPr>
        <w:t>tangentiellement lié</w:t>
      </w:r>
      <w:r w:rsidR="00735DD8" w:rsidRPr="003E3E8A">
        <w:rPr>
          <w:rFonts w:ascii="Arial" w:hAnsi="Arial" w:cs="Arial"/>
          <w:bCs/>
          <w:iCs/>
          <w:lang w:val="fr-CA"/>
        </w:rPr>
        <w:t>s</w:t>
      </w:r>
      <w:r w:rsidR="00382255" w:rsidRPr="003E3E8A">
        <w:rPr>
          <w:rFonts w:ascii="Arial" w:hAnsi="Arial" w:cs="Arial"/>
          <w:bCs/>
          <w:iCs/>
          <w:lang w:val="fr-CA"/>
        </w:rPr>
        <w:t xml:space="preserve"> à toutes ces fonctions. Par exemple</w:t>
      </w:r>
      <w:r w:rsidR="00735DD8" w:rsidRPr="003E3E8A">
        <w:rPr>
          <w:rFonts w:ascii="Arial" w:hAnsi="Arial" w:cs="Arial"/>
          <w:bCs/>
          <w:iCs/>
          <w:lang w:val="fr-CA"/>
        </w:rPr>
        <w:t> </w:t>
      </w:r>
      <w:r w:rsidR="00382255" w:rsidRPr="003E3E8A">
        <w:rPr>
          <w:rFonts w:ascii="Arial" w:hAnsi="Arial" w:cs="Arial"/>
          <w:bCs/>
          <w:iCs/>
          <w:lang w:val="fr-CA"/>
        </w:rPr>
        <w:t>:</w:t>
      </w:r>
    </w:p>
    <w:p w:rsidR="00D12AB3" w:rsidRPr="003E3E8A" w:rsidRDefault="00D12AB3" w:rsidP="00860C43">
      <w:pPr>
        <w:rPr>
          <w:rFonts w:ascii="Arial" w:hAnsi="Arial" w:cs="Arial"/>
          <w:bCs/>
          <w:iCs/>
          <w:lang w:val="fr-CA"/>
        </w:rPr>
      </w:pPr>
    </w:p>
    <w:p w:rsidR="00D12AB3" w:rsidRPr="003E3E8A" w:rsidRDefault="00D12AB3" w:rsidP="00D37A00">
      <w:pPr>
        <w:pStyle w:val="ListParagraph"/>
        <w:numPr>
          <w:ilvl w:val="0"/>
          <w:numId w:val="11"/>
        </w:numPr>
        <w:rPr>
          <w:rFonts w:ascii="Arial" w:hAnsi="Arial" w:cs="Arial"/>
          <w:bCs/>
          <w:iCs/>
          <w:lang w:val="fr-CA"/>
        </w:rPr>
      </w:pPr>
      <w:r w:rsidRPr="003E3E8A">
        <w:rPr>
          <w:rFonts w:ascii="Arial" w:hAnsi="Arial" w:cs="Arial"/>
          <w:bCs/>
          <w:iCs/>
          <w:lang w:val="fr-CA"/>
        </w:rPr>
        <w:t>F 4617 –</w:t>
      </w:r>
      <w:r w:rsidR="0032658A" w:rsidRPr="003E3E8A">
        <w:rPr>
          <w:rFonts w:ascii="Arial" w:hAnsi="Arial" w:cs="Arial"/>
          <w:bCs/>
          <w:iCs/>
          <w:lang w:val="fr-CA"/>
        </w:rPr>
        <w:t xml:space="preserve"> Le fonds pour les n</w:t>
      </w:r>
      <w:r w:rsidR="00227D6B" w:rsidRPr="003E3E8A">
        <w:rPr>
          <w:rFonts w:ascii="Arial" w:hAnsi="Arial" w:cs="Arial"/>
          <w:bCs/>
          <w:iCs/>
          <w:lang w:val="fr-CA"/>
        </w:rPr>
        <w:t xml:space="preserve">ormes techniques et de </w:t>
      </w:r>
      <w:r w:rsidR="00E2065F" w:rsidRPr="003E3E8A">
        <w:rPr>
          <w:rFonts w:ascii="Arial" w:hAnsi="Arial" w:cs="Arial"/>
          <w:bCs/>
          <w:iCs/>
          <w:lang w:val="fr-CA"/>
        </w:rPr>
        <w:t xml:space="preserve">la </w:t>
      </w:r>
      <w:r w:rsidR="00227D6B" w:rsidRPr="003E3E8A">
        <w:rPr>
          <w:rFonts w:ascii="Arial" w:hAnsi="Arial" w:cs="Arial"/>
          <w:bCs/>
          <w:iCs/>
          <w:lang w:val="fr-CA"/>
        </w:rPr>
        <w:t xml:space="preserve">sécurité contient </w:t>
      </w:r>
      <w:r w:rsidR="00D37A00" w:rsidRPr="003E3E8A">
        <w:rPr>
          <w:rFonts w:ascii="Arial" w:hAnsi="Arial" w:cs="Arial"/>
          <w:bCs/>
          <w:iCs/>
          <w:lang w:val="fr-CA"/>
        </w:rPr>
        <w:t>de la documentation portant sur la sécurité des combustibles et les récipients sous pression</w:t>
      </w:r>
      <w:r w:rsidRPr="003E3E8A">
        <w:rPr>
          <w:rFonts w:ascii="Arial" w:hAnsi="Arial" w:cs="Arial"/>
          <w:bCs/>
          <w:iCs/>
          <w:lang w:val="fr-CA"/>
        </w:rPr>
        <w:t xml:space="preserve">, </w:t>
      </w:r>
      <w:r w:rsidR="00751884" w:rsidRPr="003E3E8A">
        <w:rPr>
          <w:rFonts w:ascii="Arial" w:hAnsi="Arial" w:cs="Arial"/>
          <w:bCs/>
          <w:iCs/>
          <w:lang w:val="fr-CA"/>
        </w:rPr>
        <w:t>y compris l</w:t>
      </w:r>
      <w:r w:rsidR="006F7F2D" w:rsidRPr="003E3E8A">
        <w:rPr>
          <w:rFonts w:ascii="Arial" w:hAnsi="Arial" w:cs="Arial"/>
          <w:bCs/>
          <w:iCs/>
          <w:lang w:val="fr-CA"/>
        </w:rPr>
        <w:t>’</w:t>
      </w:r>
      <w:r w:rsidR="00751884" w:rsidRPr="003E3E8A">
        <w:rPr>
          <w:rFonts w:ascii="Arial" w:hAnsi="Arial" w:cs="Arial"/>
          <w:bCs/>
          <w:iCs/>
          <w:lang w:val="fr-CA"/>
        </w:rPr>
        <w:t>équipement utilisé dans les centrales nucléaires.</w:t>
      </w:r>
      <w:r w:rsidR="0032658A" w:rsidRPr="003E3E8A">
        <w:rPr>
          <w:rFonts w:ascii="Arial" w:hAnsi="Arial" w:cs="Arial"/>
          <w:bCs/>
          <w:iCs/>
          <w:lang w:val="fr-CA"/>
        </w:rPr>
        <w:t xml:space="preserve"> </w:t>
      </w:r>
      <w:r w:rsidR="00227D6B" w:rsidRPr="003E3E8A">
        <w:rPr>
          <w:rFonts w:ascii="Arial" w:hAnsi="Arial" w:cs="Arial"/>
          <w:bCs/>
          <w:iCs/>
          <w:lang w:val="fr-CA"/>
        </w:rPr>
        <w:t xml:space="preserve">Cependant, la </w:t>
      </w:r>
      <w:r w:rsidR="00D37A00" w:rsidRPr="003E3E8A">
        <w:rPr>
          <w:rFonts w:ascii="Arial" w:hAnsi="Arial" w:cs="Arial"/>
          <w:bCs/>
          <w:iCs/>
          <w:lang w:val="fr-CA"/>
        </w:rPr>
        <w:t xml:space="preserve">Commission des normes techniques et de la sécurité (CNTS) </w:t>
      </w:r>
      <w:r w:rsidR="00227D6B" w:rsidRPr="003E3E8A">
        <w:rPr>
          <w:rFonts w:ascii="Arial" w:hAnsi="Arial" w:cs="Arial"/>
          <w:bCs/>
          <w:iCs/>
          <w:lang w:val="fr-CA"/>
        </w:rPr>
        <w:t>a été créé</w:t>
      </w:r>
      <w:r w:rsidR="00735DD8" w:rsidRPr="003E3E8A">
        <w:rPr>
          <w:rFonts w:ascii="Arial" w:hAnsi="Arial" w:cs="Arial"/>
          <w:bCs/>
          <w:iCs/>
          <w:lang w:val="fr-CA"/>
        </w:rPr>
        <w:t>e</w:t>
      </w:r>
      <w:r w:rsidR="00227D6B" w:rsidRPr="003E3E8A">
        <w:rPr>
          <w:rFonts w:ascii="Arial" w:hAnsi="Arial" w:cs="Arial"/>
          <w:bCs/>
          <w:iCs/>
          <w:lang w:val="fr-CA"/>
        </w:rPr>
        <w:t xml:space="preserve"> par le gouvernement de l</w:t>
      </w:r>
      <w:r w:rsidR="006F7F2D" w:rsidRPr="003E3E8A">
        <w:rPr>
          <w:rFonts w:ascii="Arial" w:hAnsi="Arial" w:cs="Arial"/>
          <w:bCs/>
          <w:iCs/>
          <w:lang w:val="fr-CA"/>
        </w:rPr>
        <w:t>’</w:t>
      </w:r>
      <w:r w:rsidR="00227D6B" w:rsidRPr="003E3E8A">
        <w:rPr>
          <w:rFonts w:ascii="Arial" w:hAnsi="Arial" w:cs="Arial"/>
          <w:bCs/>
          <w:iCs/>
          <w:lang w:val="fr-CA"/>
        </w:rPr>
        <w:t xml:space="preserve">Ontario pour assurer cette fonction </w:t>
      </w:r>
      <w:r w:rsidR="00382255" w:rsidRPr="003E3E8A">
        <w:rPr>
          <w:rFonts w:ascii="Arial" w:hAnsi="Arial" w:cs="Arial"/>
          <w:bCs/>
          <w:iCs/>
          <w:lang w:val="fr-CA"/>
        </w:rPr>
        <w:t xml:space="preserve">et </w:t>
      </w:r>
      <w:r w:rsidR="00D37A00" w:rsidRPr="003E3E8A">
        <w:rPr>
          <w:rFonts w:ascii="Arial" w:hAnsi="Arial" w:cs="Arial"/>
          <w:bCs/>
          <w:iCs/>
          <w:lang w:val="fr-CA"/>
        </w:rPr>
        <w:t>bon nombre</w:t>
      </w:r>
      <w:r w:rsidR="00382255" w:rsidRPr="003E3E8A">
        <w:rPr>
          <w:rFonts w:ascii="Arial" w:hAnsi="Arial" w:cs="Arial"/>
          <w:bCs/>
          <w:iCs/>
          <w:lang w:val="fr-CA"/>
        </w:rPr>
        <w:t xml:space="preserve"> de ses </w:t>
      </w:r>
      <w:r w:rsidR="00D37A00" w:rsidRPr="003E3E8A">
        <w:rPr>
          <w:rFonts w:ascii="Arial" w:hAnsi="Arial" w:cs="Arial"/>
          <w:bCs/>
          <w:iCs/>
          <w:lang w:val="fr-CA"/>
        </w:rPr>
        <w:t xml:space="preserve">documents datant de la période ultérieure à </w:t>
      </w:r>
      <w:r w:rsidR="00382255" w:rsidRPr="003E3E8A">
        <w:rPr>
          <w:rFonts w:ascii="Arial" w:hAnsi="Arial" w:cs="Arial"/>
          <w:bCs/>
          <w:iCs/>
          <w:lang w:val="fr-CA"/>
        </w:rPr>
        <w:t>1980 sont des documents gouvernementaux</w:t>
      </w:r>
      <w:r w:rsidR="00D37A00" w:rsidRPr="003E3E8A">
        <w:rPr>
          <w:rFonts w:ascii="Arial" w:hAnsi="Arial" w:cs="Arial"/>
          <w:bCs/>
          <w:iCs/>
          <w:lang w:val="fr-CA"/>
        </w:rPr>
        <w:t>.</w:t>
      </w:r>
    </w:p>
    <w:p w:rsidR="003F2AE7" w:rsidRPr="003E3E8A" w:rsidRDefault="003F2AE7" w:rsidP="003F2AE7">
      <w:pPr>
        <w:pStyle w:val="ListParagraph"/>
        <w:rPr>
          <w:rFonts w:ascii="Arial" w:hAnsi="Arial" w:cs="Arial"/>
          <w:bCs/>
          <w:iCs/>
          <w:lang w:val="fr-CA"/>
        </w:rPr>
      </w:pPr>
    </w:p>
    <w:p w:rsidR="00112117" w:rsidRPr="008409B8" w:rsidRDefault="00D12AB3" w:rsidP="00860C43">
      <w:pPr>
        <w:pStyle w:val="ListParagraph"/>
        <w:numPr>
          <w:ilvl w:val="0"/>
          <w:numId w:val="11"/>
        </w:numPr>
        <w:rPr>
          <w:rFonts w:ascii="Arial" w:hAnsi="Arial" w:cs="Arial"/>
          <w:bCs/>
          <w:iCs/>
          <w:lang w:val="fr-CA"/>
        </w:rPr>
      </w:pPr>
      <w:r w:rsidRPr="003E3E8A">
        <w:rPr>
          <w:rFonts w:ascii="Arial" w:hAnsi="Arial" w:cs="Arial"/>
          <w:bCs/>
          <w:iCs/>
          <w:lang w:val="fr-CA"/>
        </w:rPr>
        <w:t>F 4563 –</w:t>
      </w:r>
      <w:r w:rsidR="007C549A" w:rsidRPr="003E3E8A">
        <w:rPr>
          <w:rFonts w:ascii="Arial" w:hAnsi="Arial" w:cs="Arial"/>
          <w:bCs/>
          <w:iCs/>
          <w:lang w:val="fr-CA"/>
        </w:rPr>
        <w:t xml:space="preserve"> </w:t>
      </w:r>
      <w:r w:rsidR="003214A8" w:rsidRPr="003E3E8A">
        <w:rPr>
          <w:rFonts w:ascii="Arial" w:hAnsi="Arial" w:cs="Arial"/>
          <w:bCs/>
          <w:iCs/>
          <w:lang w:val="fr-CA"/>
        </w:rPr>
        <w:t xml:space="preserve">Le fonds </w:t>
      </w:r>
      <w:r w:rsidR="00227D6B" w:rsidRPr="003E3E8A">
        <w:rPr>
          <w:rFonts w:ascii="Arial" w:hAnsi="Arial" w:cs="Arial"/>
          <w:bCs/>
          <w:iCs/>
          <w:lang w:val="fr-CA"/>
        </w:rPr>
        <w:t xml:space="preserve">Peter Favot contient plusieurs </w:t>
      </w:r>
      <w:r w:rsidR="007C549A" w:rsidRPr="003E3E8A">
        <w:rPr>
          <w:rFonts w:ascii="Arial" w:hAnsi="Arial" w:cs="Arial"/>
          <w:bCs/>
          <w:iCs/>
          <w:lang w:val="fr-CA"/>
        </w:rPr>
        <w:t>dossiers</w:t>
      </w:r>
      <w:r w:rsidR="00227D6B" w:rsidRPr="003E3E8A">
        <w:rPr>
          <w:rFonts w:ascii="Arial" w:hAnsi="Arial" w:cs="Arial"/>
          <w:bCs/>
          <w:iCs/>
          <w:lang w:val="fr-CA"/>
        </w:rPr>
        <w:t xml:space="preserve"> de projet </w:t>
      </w:r>
      <w:r w:rsidR="007C549A" w:rsidRPr="003E3E8A">
        <w:rPr>
          <w:rFonts w:ascii="Arial" w:hAnsi="Arial" w:cs="Arial"/>
          <w:bCs/>
          <w:iCs/>
          <w:lang w:val="fr-CA"/>
        </w:rPr>
        <w:t xml:space="preserve">liés </w:t>
      </w:r>
      <w:r w:rsidR="00227D6B" w:rsidRPr="003E3E8A">
        <w:rPr>
          <w:rFonts w:ascii="Arial" w:hAnsi="Arial" w:cs="Arial"/>
          <w:bCs/>
          <w:iCs/>
          <w:lang w:val="fr-CA"/>
        </w:rPr>
        <w:t>à l</w:t>
      </w:r>
      <w:r w:rsidR="006F7F2D" w:rsidRPr="003E3E8A">
        <w:rPr>
          <w:rFonts w:ascii="Arial" w:hAnsi="Arial" w:cs="Arial"/>
          <w:bCs/>
          <w:iCs/>
          <w:lang w:val="fr-CA"/>
        </w:rPr>
        <w:t>’</w:t>
      </w:r>
      <w:r w:rsidR="00227D6B" w:rsidRPr="003E3E8A">
        <w:rPr>
          <w:rFonts w:ascii="Arial" w:hAnsi="Arial" w:cs="Arial"/>
          <w:bCs/>
          <w:iCs/>
          <w:lang w:val="fr-CA"/>
        </w:rPr>
        <w:t xml:space="preserve">énergie solaire et </w:t>
      </w:r>
      <w:r w:rsidR="007C549A" w:rsidRPr="003E3E8A">
        <w:rPr>
          <w:rFonts w:ascii="Arial" w:hAnsi="Arial" w:cs="Arial"/>
          <w:bCs/>
          <w:iCs/>
          <w:lang w:val="fr-CA"/>
        </w:rPr>
        <w:t xml:space="preserve">à </w:t>
      </w:r>
      <w:r w:rsidR="00227D6B" w:rsidRPr="003E3E8A">
        <w:rPr>
          <w:rFonts w:ascii="Arial" w:hAnsi="Arial" w:cs="Arial"/>
          <w:bCs/>
          <w:iCs/>
          <w:lang w:val="fr-CA"/>
        </w:rPr>
        <w:t>l</w:t>
      </w:r>
      <w:r w:rsidR="00D37A00" w:rsidRPr="003E3E8A">
        <w:rPr>
          <w:rFonts w:ascii="Arial" w:hAnsi="Arial" w:cs="Arial"/>
          <w:bCs/>
          <w:iCs/>
          <w:lang w:val="fr-CA"/>
        </w:rPr>
        <w:t xml:space="preserve">’énergie tirée de la </w:t>
      </w:r>
      <w:r w:rsidR="00227D6B" w:rsidRPr="003E3E8A">
        <w:rPr>
          <w:rFonts w:ascii="Arial" w:hAnsi="Arial" w:cs="Arial"/>
          <w:bCs/>
          <w:iCs/>
          <w:lang w:val="fr-CA"/>
        </w:rPr>
        <w:t xml:space="preserve">combustion du bois, </w:t>
      </w:r>
      <w:r w:rsidR="00751884" w:rsidRPr="003E3E8A">
        <w:rPr>
          <w:rFonts w:ascii="Arial" w:hAnsi="Arial" w:cs="Arial"/>
          <w:bCs/>
          <w:iCs/>
          <w:lang w:val="fr-CA"/>
        </w:rPr>
        <w:t xml:space="preserve">ainsi que des </w:t>
      </w:r>
      <w:r w:rsidR="007C549A" w:rsidRPr="003E3E8A">
        <w:rPr>
          <w:rFonts w:ascii="Arial" w:hAnsi="Arial" w:cs="Arial"/>
          <w:bCs/>
          <w:iCs/>
          <w:lang w:val="fr-CA"/>
        </w:rPr>
        <w:t>concepts</w:t>
      </w:r>
      <w:r w:rsidR="00751884" w:rsidRPr="003E3E8A">
        <w:rPr>
          <w:rFonts w:ascii="Arial" w:hAnsi="Arial" w:cs="Arial"/>
          <w:bCs/>
          <w:iCs/>
          <w:lang w:val="fr-CA"/>
        </w:rPr>
        <w:t xml:space="preserve"> pour </w:t>
      </w:r>
      <w:r w:rsidR="0026257B" w:rsidRPr="003E3E8A">
        <w:rPr>
          <w:rFonts w:ascii="Arial" w:hAnsi="Arial" w:cs="Arial"/>
          <w:bCs/>
          <w:iCs/>
          <w:lang w:val="fr-CA"/>
        </w:rPr>
        <w:t>développer</w:t>
      </w:r>
      <w:r w:rsidR="00B6664F" w:rsidRPr="003E3E8A">
        <w:rPr>
          <w:rFonts w:ascii="Arial" w:hAnsi="Arial" w:cs="Arial"/>
          <w:bCs/>
          <w:iCs/>
          <w:lang w:val="fr-CA"/>
        </w:rPr>
        <w:t xml:space="preserve"> des communautés</w:t>
      </w:r>
      <w:r w:rsidR="00751884" w:rsidRPr="003E3E8A">
        <w:rPr>
          <w:rFonts w:ascii="Arial" w:hAnsi="Arial" w:cs="Arial"/>
          <w:bCs/>
          <w:iCs/>
          <w:lang w:val="fr-CA"/>
        </w:rPr>
        <w:t xml:space="preserve"> économes en énergie.</w:t>
      </w:r>
      <w:r w:rsidR="007C549A" w:rsidRPr="003E3E8A">
        <w:rPr>
          <w:rFonts w:ascii="Arial" w:hAnsi="Arial" w:cs="Arial"/>
          <w:bCs/>
          <w:iCs/>
          <w:lang w:val="fr-CA"/>
        </w:rPr>
        <w:t xml:space="preserve"> </w:t>
      </w:r>
      <w:r w:rsidR="00382255" w:rsidRPr="003E3E8A">
        <w:rPr>
          <w:rFonts w:ascii="Arial" w:hAnsi="Arial" w:cs="Arial"/>
          <w:bCs/>
          <w:iCs/>
          <w:lang w:val="fr-CA"/>
        </w:rPr>
        <w:t xml:space="preserve">Cependant, </w:t>
      </w:r>
      <w:r w:rsidR="00B6664F" w:rsidRPr="003E3E8A">
        <w:rPr>
          <w:rFonts w:ascii="Arial" w:hAnsi="Arial" w:cs="Arial"/>
          <w:bCs/>
          <w:iCs/>
          <w:lang w:val="fr-CA"/>
        </w:rPr>
        <w:t xml:space="preserve">ces documents </w:t>
      </w:r>
      <w:r w:rsidR="00382255" w:rsidRPr="003E3E8A">
        <w:rPr>
          <w:rFonts w:ascii="Arial" w:hAnsi="Arial" w:cs="Arial"/>
          <w:bCs/>
          <w:iCs/>
          <w:lang w:val="fr-CA"/>
        </w:rPr>
        <w:t xml:space="preserve">ne </w:t>
      </w:r>
      <w:r w:rsidR="00B6664F" w:rsidRPr="003E3E8A">
        <w:rPr>
          <w:rFonts w:ascii="Arial" w:hAnsi="Arial" w:cs="Arial"/>
          <w:bCs/>
          <w:iCs/>
          <w:lang w:val="fr-CA"/>
        </w:rPr>
        <w:t xml:space="preserve">constituent </w:t>
      </w:r>
      <w:r w:rsidR="00382255" w:rsidRPr="003E3E8A">
        <w:rPr>
          <w:rFonts w:ascii="Arial" w:hAnsi="Arial" w:cs="Arial"/>
          <w:bCs/>
          <w:iCs/>
          <w:lang w:val="fr-CA"/>
        </w:rPr>
        <w:t>qu</w:t>
      </w:r>
      <w:r w:rsidR="006F7F2D" w:rsidRPr="003E3E8A">
        <w:rPr>
          <w:rFonts w:ascii="Arial" w:hAnsi="Arial" w:cs="Arial"/>
          <w:bCs/>
          <w:iCs/>
          <w:lang w:val="fr-CA"/>
        </w:rPr>
        <w:t>’</w:t>
      </w:r>
      <w:r w:rsidR="00382255" w:rsidRPr="003E3E8A">
        <w:rPr>
          <w:rFonts w:ascii="Arial" w:hAnsi="Arial" w:cs="Arial"/>
          <w:bCs/>
          <w:iCs/>
          <w:lang w:val="fr-CA"/>
        </w:rPr>
        <w:t xml:space="preserve">une petite </w:t>
      </w:r>
      <w:r w:rsidR="00B6664F" w:rsidRPr="003E3E8A">
        <w:rPr>
          <w:rFonts w:ascii="Arial" w:hAnsi="Arial" w:cs="Arial"/>
          <w:bCs/>
          <w:iCs/>
          <w:lang w:val="fr-CA"/>
        </w:rPr>
        <w:t xml:space="preserve">portion </w:t>
      </w:r>
      <w:r w:rsidR="00382255" w:rsidRPr="003E3E8A">
        <w:rPr>
          <w:rFonts w:ascii="Arial" w:hAnsi="Arial" w:cs="Arial"/>
          <w:bCs/>
          <w:iCs/>
          <w:lang w:val="fr-CA"/>
        </w:rPr>
        <w:t xml:space="preserve">des documents </w:t>
      </w:r>
      <w:r w:rsidR="00B6664F" w:rsidRPr="003E3E8A">
        <w:rPr>
          <w:rFonts w:ascii="Arial" w:hAnsi="Arial" w:cs="Arial"/>
          <w:bCs/>
          <w:iCs/>
          <w:lang w:val="fr-CA"/>
        </w:rPr>
        <w:t xml:space="preserve">liés </w:t>
      </w:r>
      <w:r w:rsidR="00382255" w:rsidRPr="003E3E8A">
        <w:rPr>
          <w:rFonts w:ascii="Arial" w:hAnsi="Arial" w:cs="Arial"/>
          <w:bCs/>
          <w:iCs/>
          <w:lang w:val="fr-CA"/>
        </w:rPr>
        <w:t xml:space="preserve">à </w:t>
      </w:r>
      <w:r w:rsidR="000670BC" w:rsidRPr="003E3E8A">
        <w:rPr>
          <w:rFonts w:ascii="Arial" w:hAnsi="Arial" w:cs="Arial"/>
          <w:bCs/>
          <w:iCs/>
          <w:lang w:val="fr-CA"/>
        </w:rPr>
        <w:t>ses travaux en architectur</w:t>
      </w:r>
      <w:r w:rsidR="00382255" w:rsidRPr="003E3E8A">
        <w:rPr>
          <w:rFonts w:ascii="Arial" w:hAnsi="Arial" w:cs="Arial"/>
          <w:bCs/>
          <w:iCs/>
          <w:lang w:val="fr-CA"/>
        </w:rPr>
        <w:t>e</w:t>
      </w:r>
      <w:r w:rsidR="00B6664F" w:rsidRPr="003E3E8A">
        <w:rPr>
          <w:rFonts w:ascii="Arial" w:hAnsi="Arial" w:cs="Arial"/>
          <w:bCs/>
          <w:iCs/>
          <w:lang w:val="fr-CA"/>
        </w:rPr>
        <w:t>.</w:t>
      </w:r>
    </w:p>
    <w:p w:rsidR="0026257B" w:rsidRPr="008409B8" w:rsidRDefault="00860C43" w:rsidP="008409B8">
      <w:pPr>
        <w:pStyle w:val="Heading1"/>
      </w:pPr>
      <w:bookmarkStart w:id="5" w:name="_Toc469918978"/>
      <w:r w:rsidRPr="003E3E8A">
        <w:t xml:space="preserve">4. </w:t>
      </w:r>
      <w:r w:rsidR="006A0C7D" w:rsidRPr="003E3E8A">
        <w:t>Méthode d’analyse du secteur de l’énergie</w:t>
      </w:r>
      <w:bookmarkEnd w:id="5"/>
    </w:p>
    <w:p w:rsidR="00860C43" w:rsidRPr="003E3E8A" w:rsidRDefault="006A0C7D" w:rsidP="00860C43">
      <w:p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Cette section décrit la méthode d’analyse et justifie la manière dont le secteur a été divisé et évalué</w:t>
      </w:r>
      <w:r w:rsidR="00860C43" w:rsidRPr="003E3E8A">
        <w:rPr>
          <w:rFonts w:ascii="Arial" w:hAnsi="Arial" w:cs="Arial"/>
          <w:lang w:val="fr-CA"/>
        </w:rPr>
        <w:t>.</w:t>
      </w:r>
    </w:p>
    <w:p w:rsidR="00860C43" w:rsidRPr="00587318" w:rsidRDefault="006A0C7D" w:rsidP="008409B8">
      <w:pPr>
        <w:pStyle w:val="Heading2"/>
        <w:rPr>
          <w:lang w:val="fr-CA"/>
        </w:rPr>
      </w:pPr>
      <w:bookmarkStart w:id="6" w:name="_Toc469918979"/>
      <w:r w:rsidRPr="00587318">
        <w:rPr>
          <w:lang w:val="fr-CA"/>
        </w:rPr>
        <w:t>Identification des sous-secteurs</w:t>
      </w:r>
      <w:bookmarkEnd w:id="6"/>
    </w:p>
    <w:p w:rsidR="00860C43" w:rsidRPr="003E3E8A" w:rsidRDefault="006A0C7D" w:rsidP="00860C43">
      <w:p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 xml:space="preserve">Les sous-secteurs du secteur de l’énergie </w:t>
      </w:r>
      <w:r w:rsidR="00CF0D93" w:rsidRPr="003E3E8A">
        <w:rPr>
          <w:rFonts w:ascii="Arial" w:hAnsi="Arial" w:cs="Arial"/>
          <w:lang w:val="fr-CA"/>
        </w:rPr>
        <w:t xml:space="preserve">ont été </w:t>
      </w:r>
      <w:r w:rsidR="000670BC" w:rsidRPr="003E3E8A">
        <w:rPr>
          <w:rFonts w:ascii="Arial" w:hAnsi="Arial" w:cs="Arial"/>
          <w:lang w:val="fr-CA"/>
        </w:rPr>
        <w:t>sélectionnés</w:t>
      </w:r>
      <w:r w:rsidR="00CF0D93" w:rsidRPr="003E3E8A">
        <w:rPr>
          <w:rFonts w:ascii="Arial" w:hAnsi="Arial" w:cs="Arial"/>
          <w:lang w:val="fr-CA"/>
        </w:rPr>
        <w:t xml:space="preserve"> d’après une analyse des activités majeures liées à</w:t>
      </w:r>
      <w:r w:rsidR="00860C43" w:rsidRPr="003E3E8A">
        <w:rPr>
          <w:rFonts w:ascii="Arial" w:hAnsi="Arial" w:cs="Arial"/>
          <w:lang w:val="fr-CA"/>
        </w:rPr>
        <w:t xml:space="preserve"> </w:t>
      </w:r>
      <w:r w:rsidR="00382255" w:rsidRPr="003E3E8A">
        <w:rPr>
          <w:rFonts w:ascii="Arial" w:hAnsi="Arial" w:cs="Arial"/>
          <w:lang w:val="fr-CA"/>
        </w:rPr>
        <w:t xml:space="preserve">la production, </w:t>
      </w:r>
      <w:r w:rsidR="000F7960" w:rsidRPr="003E3E8A">
        <w:rPr>
          <w:rFonts w:ascii="Arial" w:hAnsi="Arial" w:cs="Arial"/>
          <w:lang w:val="fr-CA"/>
        </w:rPr>
        <w:t xml:space="preserve">au transport </w:t>
      </w:r>
      <w:r w:rsidR="00382255" w:rsidRPr="003E3E8A">
        <w:rPr>
          <w:rFonts w:ascii="Arial" w:hAnsi="Arial" w:cs="Arial"/>
          <w:lang w:val="fr-CA"/>
        </w:rPr>
        <w:t xml:space="preserve">et </w:t>
      </w:r>
      <w:r w:rsidR="00CF0D93" w:rsidRPr="003E3E8A">
        <w:rPr>
          <w:rFonts w:ascii="Arial" w:hAnsi="Arial" w:cs="Arial"/>
          <w:lang w:val="fr-CA"/>
        </w:rPr>
        <w:t xml:space="preserve">à </w:t>
      </w:r>
      <w:r w:rsidR="000670BC" w:rsidRPr="003E3E8A">
        <w:rPr>
          <w:rFonts w:ascii="Arial" w:hAnsi="Arial" w:cs="Arial"/>
          <w:lang w:val="fr-CA"/>
        </w:rPr>
        <w:t>la fourniture</w:t>
      </w:r>
      <w:r w:rsidR="00382255" w:rsidRPr="003E3E8A">
        <w:rPr>
          <w:rFonts w:ascii="Arial" w:hAnsi="Arial" w:cs="Arial"/>
          <w:lang w:val="fr-CA"/>
        </w:rPr>
        <w:t xml:space="preserve"> </w:t>
      </w:r>
      <w:r w:rsidR="007C549A" w:rsidRPr="003E3E8A">
        <w:rPr>
          <w:rFonts w:ascii="Arial" w:hAnsi="Arial" w:cs="Arial"/>
          <w:lang w:val="fr-CA"/>
        </w:rPr>
        <w:t>d</w:t>
      </w:r>
      <w:r w:rsidR="006F7F2D" w:rsidRPr="003E3E8A">
        <w:rPr>
          <w:rFonts w:ascii="Arial" w:hAnsi="Arial" w:cs="Arial"/>
          <w:lang w:val="fr-CA"/>
        </w:rPr>
        <w:t>’</w:t>
      </w:r>
      <w:r w:rsidR="007C549A" w:rsidRPr="003E3E8A">
        <w:rPr>
          <w:rFonts w:ascii="Arial" w:hAnsi="Arial" w:cs="Arial"/>
          <w:lang w:val="fr-CA"/>
        </w:rPr>
        <w:t xml:space="preserve">électricité </w:t>
      </w:r>
      <w:r w:rsidR="000670BC" w:rsidRPr="003E3E8A">
        <w:rPr>
          <w:rFonts w:ascii="Arial" w:hAnsi="Arial" w:cs="Arial"/>
          <w:lang w:val="fr-CA"/>
        </w:rPr>
        <w:t>en</w:t>
      </w:r>
      <w:r w:rsidR="00382255" w:rsidRPr="003E3E8A">
        <w:rPr>
          <w:rFonts w:ascii="Arial" w:hAnsi="Arial" w:cs="Arial"/>
          <w:lang w:val="fr-CA"/>
        </w:rPr>
        <w:t xml:space="preserve"> Ontario, ainsi </w:t>
      </w:r>
      <w:r w:rsidR="000670BC" w:rsidRPr="003E3E8A">
        <w:rPr>
          <w:rFonts w:ascii="Arial" w:hAnsi="Arial" w:cs="Arial"/>
          <w:lang w:val="fr-CA"/>
        </w:rPr>
        <w:t xml:space="preserve">que des </w:t>
      </w:r>
      <w:r w:rsidR="00382255" w:rsidRPr="003E3E8A">
        <w:rPr>
          <w:rFonts w:ascii="Arial" w:hAnsi="Arial" w:cs="Arial"/>
          <w:lang w:val="fr-CA"/>
        </w:rPr>
        <w:t xml:space="preserve">activités </w:t>
      </w:r>
      <w:r w:rsidR="000670BC" w:rsidRPr="003E3E8A">
        <w:rPr>
          <w:rFonts w:ascii="Arial" w:hAnsi="Arial" w:cs="Arial"/>
          <w:lang w:val="fr-CA"/>
        </w:rPr>
        <w:t xml:space="preserve">visant à défendre ou à dénoncer </w:t>
      </w:r>
      <w:r w:rsidR="00382255" w:rsidRPr="003E3E8A">
        <w:rPr>
          <w:rFonts w:ascii="Arial" w:hAnsi="Arial" w:cs="Arial"/>
          <w:lang w:val="fr-CA"/>
        </w:rPr>
        <w:t>certains types d</w:t>
      </w:r>
      <w:r w:rsidR="00D36DD7" w:rsidRPr="003E3E8A">
        <w:rPr>
          <w:rFonts w:ascii="Arial" w:hAnsi="Arial" w:cs="Arial"/>
          <w:lang w:val="fr-CA"/>
        </w:rPr>
        <w:t>’énergie</w:t>
      </w:r>
      <w:r w:rsidR="00382255" w:rsidRPr="003E3E8A">
        <w:rPr>
          <w:rFonts w:ascii="Arial" w:hAnsi="Arial" w:cs="Arial"/>
          <w:lang w:val="fr-CA"/>
        </w:rPr>
        <w:t xml:space="preserve">. </w:t>
      </w:r>
      <w:r w:rsidR="00CF0D93" w:rsidRPr="003E3E8A">
        <w:rPr>
          <w:rFonts w:ascii="Arial" w:hAnsi="Arial" w:cs="Arial"/>
          <w:lang w:val="fr-CA"/>
        </w:rPr>
        <w:t xml:space="preserve">Les sous-secteurs ont été établis en fonction des </w:t>
      </w:r>
      <w:r w:rsidR="0026257B" w:rsidRPr="003E3E8A">
        <w:rPr>
          <w:rFonts w:ascii="Arial" w:hAnsi="Arial" w:cs="Arial"/>
          <w:lang w:val="fr-CA"/>
        </w:rPr>
        <w:t xml:space="preserve">principales </w:t>
      </w:r>
      <w:r w:rsidR="00CF0D93" w:rsidRPr="003E3E8A">
        <w:rPr>
          <w:rFonts w:ascii="Arial" w:hAnsi="Arial" w:cs="Arial"/>
          <w:lang w:val="fr-CA"/>
        </w:rPr>
        <w:t>catégories d</w:t>
      </w:r>
      <w:r w:rsidR="0026257B" w:rsidRPr="003E3E8A">
        <w:rPr>
          <w:rFonts w:ascii="Arial" w:hAnsi="Arial" w:cs="Arial"/>
          <w:lang w:val="fr-CA"/>
        </w:rPr>
        <w:t>’</w:t>
      </w:r>
      <w:r w:rsidR="00CF0D93" w:rsidRPr="003E3E8A">
        <w:rPr>
          <w:rFonts w:ascii="Arial" w:hAnsi="Arial" w:cs="Arial"/>
          <w:lang w:val="fr-CA"/>
        </w:rPr>
        <w:t>organismes, d</w:t>
      </w:r>
      <w:r w:rsidR="0026257B" w:rsidRPr="003E3E8A">
        <w:rPr>
          <w:rFonts w:ascii="Arial" w:hAnsi="Arial" w:cs="Arial"/>
          <w:lang w:val="fr-CA"/>
        </w:rPr>
        <w:t>’</w:t>
      </w:r>
      <w:r w:rsidR="00CF0D93" w:rsidRPr="003E3E8A">
        <w:rPr>
          <w:rFonts w:ascii="Arial" w:hAnsi="Arial" w:cs="Arial"/>
          <w:lang w:val="fr-CA"/>
        </w:rPr>
        <w:t>entités et de particuliers qui participent à ces activités dans le secteur privé ou qui ont un intérêt pour celles-ci</w:t>
      </w:r>
      <w:r w:rsidR="00860C43" w:rsidRPr="003E3E8A">
        <w:rPr>
          <w:rFonts w:ascii="Arial" w:hAnsi="Arial" w:cs="Arial"/>
          <w:lang w:val="fr-CA"/>
        </w:rPr>
        <w:t>.</w:t>
      </w:r>
    </w:p>
    <w:p w:rsidR="00860C43" w:rsidRPr="003E3E8A" w:rsidRDefault="006A0C7D" w:rsidP="008409B8">
      <w:pPr>
        <w:pStyle w:val="Heading2"/>
        <w:rPr>
          <w:lang w:val="fr-CA"/>
        </w:rPr>
      </w:pPr>
      <w:bookmarkStart w:id="7" w:name="_Toc469918980"/>
      <w:r w:rsidRPr="003E3E8A">
        <w:rPr>
          <w:lang w:val="fr-CA"/>
        </w:rPr>
        <w:t>Exclusions et limites</w:t>
      </w:r>
      <w:bookmarkEnd w:id="7"/>
    </w:p>
    <w:p w:rsidR="00860C43" w:rsidRPr="003E3E8A" w:rsidRDefault="00CF0D93" w:rsidP="00860C43">
      <w:p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Cette section fournit un aperçu de certains secteurs ou catégories du secteur de l’énergie de l’Ontario qui ont été exclus de l’analyse</w:t>
      </w:r>
      <w:r w:rsidR="00860C43" w:rsidRPr="003E3E8A">
        <w:rPr>
          <w:rFonts w:ascii="Arial" w:hAnsi="Arial" w:cs="Arial"/>
          <w:lang w:val="fr-CA"/>
        </w:rPr>
        <w:t>.</w:t>
      </w:r>
    </w:p>
    <w:p w:rsidR="00860C43" w:rsidRPr="003E3E8A" w:rsidRDefault="00860C43" w:rsidP="00860C43">
      <w:pPr>
        <w:rPr>
          <w:rFonts w:ascii="Arial" w:hAnsi="Arial" w:cs="Arial"/>
          <w:lang w:val="fr-CA"/>
        </w:rPr>
      </w:pPr>
    </w:p>
    <w:p w:rsidR="00CC3BC7" w:rsidRPr="008409B8" w:rsidRDefault="00382255" w:rsidP="00CC3BC7">
      <w:pPr>
        <w:numPr>
          <w:ilvl w:val="0"/>
          <w:numId w:val="9"/>
        </w:numPr>
        <w:rPr>
          <w:rFonts w:ascii="Arial" w:hAnsi="Arial" w:cs="Arial"/>
          <w:i/>
          <w:lang w:val="fr-CA"/>
        </w:rPr>
      </w:pPr>
      <w:r w:rsidRPr="003E3E8A">
        <w:rPr>
          <w:rFonts w:ascii="Arial" w:hAnsi="Arial" w:cs="Arial"/>
          <w:lang w:val="fr-CA"/>
        </w:rPr>
        <w:t>La Commission de 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énergie de 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Ontario est exclu</w:t>
      </w:r>
      <w:r w:rsidR="00D36DD7" w:rsidRPr="003E3E8A">
        <w:rPr>
          <w:rFonts w:ascii="Arial" w:hAnsi="Arial" w:cs="Arial"/>
          <w:lang w:val="fr-CA"/>
        </w:rPr>
        <w:t>e</w:t>
      </w:r>
      <w:r w:rsidRPr="003E3E8A">
        <w:rPr>
          <w:rFonts w:ascii="Arial" w:hAnsi="Arial" w:cs="Arial"/>
          <w:lang w:val="fr-CA"/>
        </w:rPr>
        <w:t xml:space="preserve"> </w:t>
      </w:r>
      <w:r w:rsidR="00D36DD7" w:rsidRPr="003E3E8A">
        <w:rPr>
          <w:rFonts w:ascii="Arial" w:hAnsi="Arial" w:cs="Arial"/>
          <w:lang w:val="fr-CA"/>
        </w:rPr>
        <w:t>puisque</w:t>
      </w:r>
      <w:r w:rsidRPr="003E3E8A">
        <w:rPr>
          <w:rFonts w:ascii="Arial" w:hAnsi="Arial" w:cs="Arial"/>
          <w:lang w:val="fr-CA"/>
        </w:rPr>
        <w:t xml:space="preserve"> ses </w:t>
      </w:r>
      <w:r w:rsidR="000670BC" w:rsidRPr="003E3E8A">
        <w:rPr>
          <w:rFonts w:ascii="Arial" w:hAnsi="Arial" w:cs="Arial"/>
          <w:lang w:val="fr-CA"/>
        </w:rPr>
        <w:t>documents</w:t>
      </w:r>
      <w:r w:rsidRPr="003E3E8A">
        <w:rPr>
          <w:rFonts w:ascii="Arial" w:hAnsi="Arial" w:cs="Arial"/>
          <w:lang w:val="fr-CA"/>
        </w:rPr>
        <w:t xml:space="preserve"> sont </w:t>
      </w:r>
      <w:r w:rsidR="000670BC" w:rsidRPr="003E3E8A">
        <w:rPr>
          <w:rFonts w:ascii="Arial" w:hAnsi="Arial" w:cs="Arial"/>
          <w:lang w:val="fr-CA"/>
        </w:rPr>
        <w:t xml:space="preserve">déjà </w:t>
      </w:r>
      <w:r w:rsidRPr="003E3E8A">
        <w:rPr>
          <w:rFonts w:ascii="Arial" w:hAnsi="Arial" w:cs="Arial"/>
          <w:lang w:val="fr-CA"/>
        </w:rPr>
        <w:t xml:space="preserve">couverts par le règlement </w:t>
      </w:r>
      <w:r w:rsidR="000670BC" w:rsidRPr="003E3E8A">
        <w:rPr>
          <w:rFonts w:ascii="Arial" w:hAnsi="Arial" w:cs="Arial"/>
          <w:lang w:val="fr-CA"/>
        </w:rPr>
        <w:t>de l’Ontario</w:t>
      </w:r>
      <w:r w:rsidR="00052D44" w:rsidRPr="003E3E8A">
        <w:rPr>
          <w:rFonts w:ascii="Arial" w:hAnsi="Arial" w:cs="Arial"/>
          <w:lang w:val="fr-CA"/>
        </w:rPr>
        <w:t> </w:t>
      </w:r>
      <w:r w:rsidRPr="003E3E8A">
        <w:rPr>
          <w:rFonts w:ascii="Arial" w:hAnsi="Arial" w:cs="Arial"/>
          <w:lang w:val="fr-CA"/>
        </w:rPr>
        <w:t xml:space="preserve">336/07 </w:t>
      </w:r>
      <w:r w:rsidR="000670BC" w:rsidRPr="003E3E8A">
        <w:rPr>
          <w:rFonts w:ascii="Arial" w:hAnsi="Arial" w:cs="Arial"/>
          <w:lang w:val="fr-CA"/>
        </w:rPr>
        <w:t xml:space="preserve">pris en application </w:t>
      </w:r>
      <w:r w:rsidR="00D36DD7" w:rsidRPr="003E3E8A">
        <w:rPr>
          <w:rFonts w:ascii="Arial" w:hAnsi="Arial" w:cs="Arial"/>
          <w:lang w:val="fr-CA"/>
        </w:rPr>
        <w:t xml:space="preserve">de la </w:t>
      </w:r>
      <w:r w:rsidR="00D36DD7" w:rsidRPr="003E3E8A">
        <w:rPr>
          <w:rFonts w:ascii="Arial" w:hAnsi="Arial" w:cs="Arial"/>
          <w:i/>
          <w:lang w:val="fr-CA"/>
        </w:rPr>
        <w:t xml:space="preserve">Loi </w:t>
      </w:r>
      <w:r w:rsidR="000670BC" w:rsidRPr="003E3E8A">
        <w:rPr>
          <w:rFonts w:ascii="Arial" w:hAnsi="Arial" w:cs="Arial"/>
          <w:i/>
          <w:lang w:val="fr-CA"/>
        </w:rPr>
        <w:t xml:space="preserve">de 2006 </w:t>
      </w:r>
      <w:r w:rsidR="00D36DD7" w:rsidRPr="003E3E8A">
        <w:rPr>
          <w:rFonts w:ascii="Arial" w:hAnsi="Arial" w:cs="Arial"/>
          <w:i/>
          <w:lang w:val="fr-CA"/>
        </w:rPr>
        <w:t xml:space="preserve">sur les Archives </w:t>
      </w:r>
      <w:r w:rsidR="000670BC" w:rsidRPr="003E3E8A">
        <w:rPr>
          <w:rFonts w:ascii="Arial" w:hAnsi="Arial" w:cs="Arial"/>
          <w:i/>
          <w:lang w:val="fr-CA"/>
        </w:rPr>
        <w:t>publiques et la conservation des documents</w:t>
      </w:r>
      <w:r w:rsidR="00D36DD7" w:rsidRPr="003E3E8A">
        <w:rPr>
          <w:rFonts w:ascii="Arial" w:hAnsi="Arial" w:cs="Arial"/>
          <w:i/>
          <w:lang w:val="fr-CA"/>
        </w:rPr>
        <w:t>.</w:t>
      </w:r>
    </w:p>
    <w:p w:rsidR="00860C43" w:rsidRPr="003E3E8A" w:rsidRDefault="003F2AE7" w:rsidP="008409B8">
      <w:pPr>
        <w:pStyle w:val="Heading1"/>
      </w:pPr>
      <w:bookmarkStart w:id="8" w:name="_Toc469918981"/>
      <w:r w:rsidRPr="003E3E8A">
        <w:t xml:space="preserve">5. </w:t>
      </w:r>
      <w:r w:rsidR="006A0C7D" w:rsidRPr="003E3E8A">
        <w:t>Analyse des sous-secteurs de l’énergie</w:t>
      </w:r>
      <w:bookmarkEnd w:id="8"/>
    </w:p>
    <w:p w:rsidR="00860C43" w:rsidRPr="003E3E8A" w:rsidRDefault="00382255" w:rsidP="00860C43">
      <w:p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annexe</w:t>
      </w:r>
      <w:r w:rsidR="00052D44" w:rsidRPr="003E3E8A">
        <w:rPr>
          <w:rFonts w:ascii="Arial" w:hAnsi="Arial" w:cs="Arial"/>
          <w:lang w:val="fr-CA"/>
        </w:rPr>
        <w:t> </w:t>
      </w:r>
      <w:r w:rsidRPr="003E3E8A">
        <w:rPr>
          <w:rFonts w:ascii="Arial" w:hAnsi="Arial" w:cs="Arial"/>
          <w:lang w:val="fr-CA"/>
        </w:rPr>
        <w:t>A a été créée dans le but d</w:t>
      </w:r>
      <w:r w:rsidR="006A0C7D" w:rsidRPr="003E3E8A">
        <w:rPr>
          <w:rFonts w:ascii="Arial" w:hAnsi="Arial" w:cs="Arial"/>
          <w:lang w:val="fr-CA"/>
        </w:rPr>
        <w:t>’examiner la portée du secteur de l’énergie en ce qui a trait aux points suivants </w:t>
      </w:r>
      <w:r w:rsidR="00860C43" w:rsidRPr="003E3E8A">
        <w:rPr>
          <w:rFonts w:ascii="Arial" w:hAnsi="Arial" w:cs="Arial"/>
          <w:lang w:val="fr-CA"/>
        </w:rPr>
        <w:t xml:space="preserve">: </w:t>
      </w:r>
    </w:p>
    <w:p w:rsidR="00860C43" w:rsidRPr="003E3E8A" w:rsidRDefault="00860C43" w:rsidP="00860C43">
      <w:pPr>
        <w:rPr>
          <w:rFonts w:ascii="Arial" w:hAnsi="Arial" w:cs="Arial"/>
          <w:lang w:val="fr-CA"/>
        </w:rPr>
      </w:pPr>
    </w:p>
    <w:p w:rsidR="006A0C7D" w:rsidRPr="003E3E8A" w:rsidRDefault="006A0C7D" w:rsidP="006A0C7D">
      <w:pPr>
        <w:numPr>
          <w:ilvl w:val="0"/>
          <w:numId w:val="2"/>
        </w:num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Identification et définition des sous-secteurs et des catégories du secteur de l’énergie</w:t>
      </w:r>
    </w:p>
    <w:p w:rsidR="006A0C7D" w:rsidRPr="003E3E8A" w:rsidRDefault="006A0C7D" w:rsidP="006A0C7D">
      <w:pPr>
        <w:numPr>
          <w:ilvl w:val="0"/>
          <w:numId w:val="2"/>
        </w:num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lastRenderedPageBreak/>
        <w:t>Établissement de rapports entre les activités du secteur privé et les fonctions du gouvernement</w:t>
      </w:r>
    </w:p>
    <w:p w:rsidR="006A0C7D" w:rsidRPr="003E3E8A" w:rsidRDefault="006A0C7D" w:rsidP="006A0C7D">
      <w:pPr>
        <w:numPr>
          <w:ilvl w:val="0"/>
          <w:numId w:val="2"/>
        </w:num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Identification des collections actuelles des Archives publiques de l’Ontario liées au secteur de l’énergie (contenant des documents datant de </w:t>
      </w:r>
      <w:r w:rsidR="00052D44" w:rsidRPr="003E3E8A">
        <w:rPr>
          <w:rFonts w:ascii="Arial" w:hAnsi="Arial" w:cs="Arial"/>
          <w:lang w:val="fr-CA"/>
        </w:rPr>
        <w:t xml:space="preserve">la période ultérieure à </w:t>
      </w:r>
      <w:r w:rsidRPr="003E3E8A">
        <w:rPr>
          <w:rFonts w:ascii="Arial" w:hAnsi="Arial" w:cs="Arial"/>
          <w:lang w:val="fr-CA"/>
        </w:rPr>
        <w:t>1980)</w:t>
      </w:r>
    </w:p>
    <w:p w:rsidR="006A0C7D" w:rsidRPr="003E3E8A" w:rsidRDefault="006A0C7D" w:rsidP="006A0C7D">
      <w:pPr>
        <w:numPr>
          <w:ilvl w:val="0"/>
          <w:numId w:val="2"/>
        </w:num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Justification de l’importance d’acquérir de la documentation dans un sous-secteur ou une catégorie</w:t>
      </w:r>
    </w:p>
    <w:p w:rsidR="00860C43" w:rsidRPr="008409B8" w:rsidRDefault="006A0C7D" w:rsidP="00860C43">
      <w:pPr>
        <w:numPr>
          <w:ilvl w:val="0"/>
          <w:numId w:val="2"/>
        </w:num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Identification du niveau de la priorité d’acquisition pour chaque sous-secteur en fonction de la justification</w:t>
      </w:r>
    </w:p>
    <w:p w:rsidR="00860C43" w:rsidRPr="003E3E8A" w:rsidRDefault="006A0C7D" w:rsidP="008409B8">
      <w:pPr>
        <w:pStyle w:val="Heading2"/>
        <w:rPr>
          <w:lang w:val="fr-CA"/>
        </w:rPr>
      </w:pPr>
      <w:bookmarkStart w:id="9" w:name="_Toc469918982"/>
      <w:r w:rsidRPr="003E3E8A">
        <w:rPr>
          <w:lang w:val="fr-CA"/>
        </w:rPr>
        <w:t>Sous-secteurs du secteur</w:t>
      </w:r>
      <w:r w:rsidR="008409B8">
        <w:rPr>
          <w:lang w:val="fr-CA"/>
        </w:rPr>
        <w:t xml:space="preserve"> de l’énergie</w:t>
      </w:r>
      <w:r w:rsidRPr="003E3E8A">
        <w:rPr>
          <w:lang w:val="fr-CA"/>
        </w:rPr>
        <w:t>:</w:t>
      </w:r>
      <w:bookmarkEnd w:id="9"/>
    </w:p>
    <w:p w:rsidR="00860C43" w:rsidRPr="003E3E8A" w:rsidRDefault="006A0C7D" w:rsidP="00860C43">
      <w:p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Pour les besoins de l’analyse, les activités du secteur de l’énergie ont été réparties dans les sous-secteurs suivants</w:t>
      </w:r>
      <w:r w:rsidR="00860C43" w:rsidRPr="003E3E8A">
        <w:rPr>
          <w:rFonts w:ascii="Arial" w:hAnsi="Arial" w:cs="Arial"/>
          <w:lang w:val="fr-CA"/>
        </w:rPr>
        <w:t xml:space="preserve"> </w:t>
      </w:r>
      <w:r w:rsidR="00D36DD7" w:rsidRPr="003E3E8A">
        <w:rPr>
          <w:rFonts w:ascii="Arial" w:hAnsi="Arial" w:cs="Arial"/>
          <w:lang w:val="fr-CA"/>
        </w:rPr>
        <w:t>à l’annexe</w:t>
      </w:r>
      <w:r w:rsidR="00052D44" w:rsidRPr="003E3E8A">
        <w:rPr>
          <w:rFonts w:ascii="Arial" w:hAnsi="Arial" w:cs="Arial"/>
          <w:lang w:val="fr-CA"/>
        </w:rPr>
        <w:t> </w:t>
      </w:r>
      <w:r w:rsidR="00860C43" w:rsidRPr="003E3E8A">
        <w:rPr>
          <w:rFonts w:ascii="Arial" w:hAnsi="Arial" w:cs="Arial"/>
          <w:lang w:val="fr-CA"/>
        </w:rPr>
        <w:t>A</w:t>
      </w:r>
      <w:r w:rsidR="00052D44" w:rsidRPr="003E3E8A">
        <w:rPr>
          <w:rFonts w:ascii="Arial" w:hAnsi="Arial" w:cs="Arial"/>
          <w:lang w:val="fr-CA"/>
        </w:rPr>
        <w:t> </w:t>
      </w:r>
      <w:r w:rsidRPr="003E3E8A">
        <w:rPr>
          <w:rFonts w:ascii="Arial" w:hAnsi="Arial" w:cs="Arial"/>
          <w:lang w:val="fr-CA"/>
        </w:rPr>
        <w:t>:</w:t>
      </w:r>
    </w:p>
    <w:p w:rsidR="00860C43" w:rsidRPr="003E3E8A" w:rsidRDefault="00860C43" w:rsidP="00860C43">
      <w:pPr>
        <w:rPr>
          <w:rFonts w:ascii="Arial" w:hAnsi="Arial" w:cs="Arial"/>
          <w:lang w:val="fr-CA"/>
        </w:rPr>
      </w:pPr>
    </w:p>
    <w:p w:rsidR="00860C43" w:rsidRPr="003E3E8A" w:rsidRDefault="00D36DD7" w:rsidP="00860C43">
      <w:pPr>
        <w:numPr>
          <w:ilvl w:val="0"/>
          <w:numId w:val="6"/>
        </w:num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G</w:t>
      </w:r>
      <w:r w:rsidR="00382255" w:rsidRPr="003E3E8A">
        <w:rPr>
          <w:rFonts w:ascii="Arial" w:hAnsi="Arial" w:cs="Arial"/>
          <w:lang w:val="fr-CA"/>
        </w:rPr>
        <w:t xml:space="preserve">énérateurs </w:t>
      </w:r>
      <w:r w:rsidRPr="003E3E8A">
        <w:rPr>
          <w:rFonts w:ascii="Arial" w:hAnsi="Arial" w:cs="Arial"/>
          <w:lang w:val="fr-CA"/>
        </w:rPr>
        <w:t>d’électricité</w:t>
      </w:r>
      <w:r w:rsidR="00382255" w:rsidRPr="003E3E8A">
        <w:rPr>
          <w:rFonts w:ascii="Arial" w:hAnsi="Arial" w:cs="Arial"/>
          <w:lang w:val="fr-CA"/>
        </w:rPr>
        <w:t xml:space="preserve"> </w:t>
      </w:r>
      <w:r w:rsidR="008871C9" w:rsidRPr="003E3E8A">
        <w:rPr>
          <w:rFonts w:ascii="Arial" w:hAnsi="Arial" w:cs="Arial"/>
          <w:lang w:val="fr-CA"/>
        </w:rPr>
        <w:t>pour les entreprises</w:t>
      </w:r>
    </w:p>
    <w:p w:rsidR="00860C43" w:rsidRPr="003E3E8A" w:rsidRDefault="00D36DD7" w:rsidP="00860C43">
      <w:pPr>
        <w:numPr>
          <w:ilvl w:val="0"/>
          <w:numId w:val="6"/>
        </w:num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 xml:space="preserve">Générateurs d’électricité </w:t>
      </w:r>
      <w:r w:rsidR="008871C9" w:rsidRPr="003E3E8A">
        <w:rPr>
          <w:rFonts w:ascii="Arial" w:hAnsi="Arial" w:cs="Arial"/>
          <w:lang w:val="fr-CA"/>
        </w:rPr>
        <w:t xml:space="preserve">pour les </w:t>
      </w:r>
      <w:r w:rsidRPr="003E3E8A">
        <w:rPr>
          <w:rFonts w:ascii="Arial" w:hAnsi="Arial" w:cs="Arial"/>
          <w:lang w:val="fr-CA"/>
        </w:rPr>
        <w:t>c</w:t>
      </w:r>
      <w:r w:rsidR="00382255" w:rsidRPr="003E3E8A">
        <w:rPr>
          <w:rFonts w:ascii="Arial" w:hAnsi="Arial" w:cs="Arial"/>
          <w:lang w:val="fr-CA"/>
        </w:rPr>
        <w:t>ommunauté</w:t>
      </w:r>
      <w:r w:rsidR="008871C9" w:rsidRPr="003E3E8A">
        <w:rPr>
          <w:rFonts w:ascii="Arial" w:hAnsi="Arial" w:cs="Arial"/>
          <w:lang w:val="fr-CA"/>
        </w:rPr>
        <w:t>s et les particuliers</w:t>
      </w:r>
    </w:p>
    <w:p w:rsidR="00860C43" w:rsidRPr="003E3E8A" w:rsidRDefault="00382255" w:rsidP="00860C43">
      <w:pPr>
        <w:numPr>
          <w:ilvl w:val="0"/>
          <w:numId w:val="6"/>
        </w:num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 xml:space="preserve">Organismes de gestion, de </w:t>
      </w:r>
      <w:r w:rsidR="000F7960" w:rsidRPr="003E3E8A">
        <w:rPr>
          <w:rFonts w:ascii="Arial" w:hAnsi="Arial" w:cs="Arial"/>
          <w:lang w:val="fr-CA"/>
        </w:rPr>
        <w:t>transport</w:t>
      </w:r>
      <w:r w:rsidRPr="003E3E8A">
        <w:rPr>
          <w:rFonts w:ascii="Arial" w:hAnsi="Arial" w:cs="Arial"/>
          <w:lang w:val="fr-CA"/>
        </w:rPr>
        <w:t xml:space="preserve"> et de planification</w:t>
      </w:r>
      <w:r w:rsidR="008871C9" w:rsidRPr="003E3E8A">
        <w:rPr>
          <w:rFonts w:ascii="Arial" w:hAnsi="Arial" w:cs="Arial"/>
          <w:lang w:val="fr-CA"/>
        </w:rPr>
        <w:t xml:space="preserve"> de l’électricité</w:t>
      </w:r>
    </w:p>
    <w:p w:rsidR="00860C43" w:rsidRPr="003E3E8A" w:rsidRDefault="005C40A6" w:rsidP="00860C43">
      <w:pPr>
        <w:numPr>
          <w:ilvl w:val="0"/>
          <w:numId w:val="6"/>
        </w:num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Organismes de pression</w:t>
      </w:r>
    </w:p>
    <w:p w:rsidR="00860C43" w:rsidRPr="003E3E8A" w:rsidRDefault="00D36DD7" w:rsidP="00860C43">
      <w:pPr>
        <w:numPr>
          <w:ilvl w:val="0"/>
          <w:numId w:val="6"/>
        </w:num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C</w:t>
      </w:r>
      <w:r w:rsidR="00382255" w:rsidRPr="003E3E8A">
        <w:rPr>
          <w:rFonts w:ascii="Arial" w:hAnsi="Arial" w:cs="Arial"/>
          <w:lang w:val="fr-CA"/>
        </w:rPr>
        <w:t>hercheurs d</w:t>
      </w:r>
      <w:r w:rsidR="006F7F2D" w:rsidRPr="003E3E8A">
        <w:rPr>
          <w:rFonts w:ascii="Arial" w:hAnsi="Arial" w:cs="Arial"/>
          <w:lang w:val="fr-CA"/>
        </w:rPr>
        <w:t>’</w:t>
      </w:r>
      <w:r w:rsidR="00382255" w:rsidRPr="003E3E8A">
        <w:rPr>
          <w:rFonts w:ascii="Arial" w:hAnsi="Arial" w:cs="Arial"/>
          <w:lang w:val="fr-CA"/>
        </w:rPr>
        <w:t>énergie</w:t>
      </w:r>
      <w:r w:rsidRPr="003E3E8A">
        <w:rPr>
          <w:rFonts w:ascii="Arial" w:hAnsi="Arial" w:cs="Arial"/>
          <w:lang w:val="fr-CA"/>
        </w:rPr>
        <w:t>s</w:t>
      </w:r>
      <w:r w:rsidR="00382255" w:rsidRPr="003E3E8A">
        <w:rPr>
          <w:rFonts w:ascii="Arial" w:hAnsi="Arial" w:cs="Arial"/>
          <w:lang w:val="fr-CA"/>
        </w:rPr>
        <w:t xml:space="preserve"> </w:t>
      </w:r>
      <w:r w:rsidR="008871C9" w:rsidRPr="003E3E8A">
        <w:rPr>
          <w:rFonts w:ascii="Arial" w:hAnsi="Arial" w:cs="Arial"/>
          <w:lang w:val="fr-CA"/>
        </w:rPr>
        <w:t>de remplacement</w:t>
      </w:r>
    </w:p>
    <w:p w:rsidR="00382255" w:rsidRPr="008409B8" w:rsidRDefault="00D36DD7" w:rsidP="00382255">
      <w:pPr>
        <w:numPr>
          <w:ilvl w:val="0"/>
          <w:numId w:val="6"/>
        </w:num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F</w:t>
      </w:r>
      <w:r w:rsidR="00382255" w:rsidRPr="003E3E8A">
        <w:rPr>
          <w:rFonts w:ascii="Arial" w:hAnsi="Arial" w:cs="Arial"/>
          <w:lang w:val="fr-CA"/>
        </w:rPr>
        <w:t>ournisseurs de matières premières</w:t>
      </w:r>
    </w:p>
    <w:p w:rsidR="006A0C7D" w:rsidRPr="003E3E8A" w:rsidRDefault="006A0C7D" w:rsidP="008409B8">
      <w:pPr>
        <w:pStyle w:val="Heading2"/>
        <w:rPr>
          <w:i/>
          <w:lang w:val="fr-CA"/>
        </w:rPr>
      </w:pPr>
      <w:bookmarkStart w:id="10" w:name="_Toc469918983"/>
      <w:r w:rsidRPr="003E3E8A">
        <w:rPr>
          <w:lang w:val="fr-CA"/>
        </w:rPr>
        <w:t>Liens fonctionnels du gouvernement</w:t>
      </w:r>
      <w:bookmarkEnd w:id="10"/>
    </w:p>
    <w:p w:rsidR="00860C43" w:rsidRPr="003E3E8A" w:rsidRDefault="006A0C7D" w:rsidP="006A0C7D">
      <w:pPr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Les liens fonctionnels fournis</w:t>
      </w:r>
      <w:r w:rsidRPr="003E3E8A">
        <w:rPr>
          <w:rFonts w:ascii="Arial" w:hAnsi="Arial" w:cs="Arial"/>
          <w:bCs/>
          <w:lang w:val="fr-CA"/>
        </w:rPr>
        <w:t xml:space="preserve"> à l’annexe</w:t>
      </w:r>
      <w:r w:rsidR="00052D44" w:rsidRPr="003E3E8A">
        <w:rPr>
          <w:rFonts w:ascii="Arial" w:hAnsi="Arial" w:cs="Arial"/>
          <w:bCs/>
          <w:lang w:val="fr-CA"/>
        </w:rPr>
        <w:t> </w:t>
      </w:r>
      <w:r w:rsidRPr="003E3E8A">
        <w:rPr>
          <w:rFonts w:ascii="Arial" w:hAnsi="Arial" w:cs="Arial"/>
          <w:bCs/>
          <w:lang w:val="fr-CA"/>
        </w:rPr>
        <w:t xml:space="preserve">A </w:t>
      </w:r>
      <w:r w:rsidRPr="003E3E8A">
        <w:rPr>
          <w:rFonts w:ascii="Arial" w:hAnsi="Arial" w:cs="Arial"/>
          <w:lang w:val="fr-CA"/>
        </w:rPr>
        <w:t>sont fondés sur les trois</w:t>
      </w:r>
      <w:r w:rsidR="00052D44" w:rsidRPr="003E3E8A">
        <w:rPr>
          <w:rFonts w:ascii="Arial" w:hAnsi="Arial" w:cs="Arial"/>
          <w:lang w:val="fr-CA"/>
        </w:rPr>
        <w:t> </w:t>
      </w:r>
      <w:r w:rsidRPr="003E3E8A">
        <w:rPr>
          <w:rFonts w:ascii="Arial" w:hAnsi="Arial" w:cs="Arial"/>
          <w:lang w:val="fr-CA"/>
        </w:rPr>
        <w:t>fonctions fondamentales du Ministère suivantes </w:t>
      </w:r>
      <w:r w:rsidR="00860C43" w:rsidRPr="003E3E8A">
        <w:rPr>
          <w:rFonts w:ascii="Arial" w:hAnsi="Arial" w:cs="Arial"/>
          <w:lang w:val="fr-CA"/>
        </w:rPr>
        <w:t>:</w:t>
      </w:r>
    </w:p>
    <w:p w:rsidR="00860C43" w:rsidRPr="003E3E8A" w:rsidRDefault="00860C43" w:rsidP="00860C43">
      <w:pPr>
        <w:rPr>
          <w:rFonts w:ascii="Arial" w:hAnsi="Arial" w:cs="Arial"/>
          <w:lang w:val="fr-CA"/>
        </w:rPr>
      </w:pPr>
    </w:p>
    <w:p w:rsidR="008871C9" w:rsidRPr="003E3E8A" w:rsidRDefault="008871C9" w:rsidP="008871C9">
      <w:pPr>
        <w:numPr>
          <w:ilvl w:val="0"/>
          <w:numId w:val="7"/>
        </w:numPr>
        <w:rPr>
          <w:rFonts w:ascii="Arial" w:hAnsi="Arial" w:cs="Arial"/>
          <w:bCs/>
          <w:iCs/>
          <w:lang w:val="fr-CA"/>
        </w:rPr>
      </w:pPr>
      <w:r w:rsidRPr="003E3E8A">
        <w:rPr>
          <w:rFonts w:ascii="Arial" w:hAnsi="Arial" w:cs="Arial"/>
          <w:bCs/>
          <w:iCs/>
          <w:lang w:val="fr-CA"/>
        </w:rPr>
        <w:t>Gestion de l</w:t>
      </w:r>
      <w:r w:rsidR="006F7F2D" w:rsidRPr="003E3E8A">
        <w:rPr>
          <w:rFonts w:ascii="Arial" w:hAnsi="Arial" w:cs="Arial"/>
          <w:bCs/>
          <w:iCs/>
          <w:lang w:val="fr-CA"/>
        </w:rPr>
        <w:t>’</w:t>
      </w:r>
      <w:r w:rsidRPr="003E3E8A">
        <w:rPr>
          <w:rFonts w:ascii="Arial" w:hAnsi="Arial" w:cs="Arial"/>
          <w:bCs/>
          <w:iCs/>
          <w:lang w:val="fr-CA"/>
        </w:rPr>
        <w:t>approvisionnement en énergie</w:t>
      </w:r>
    </w:p>
    <w:p w:rsidR="008871C9" w:rsidRPr="003E3E8A" w:rsidRDefault="008871C9" w:rsidP="008871C9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 xml:space="preserve">Promotion de </w:t>
      </w:r>
      <w:r w:rsidR="0086168B" w:rsidRPr="003E3E8A">
        <w:rPr>
          <w:rFonts w:ascii="Arial" w:hAnsi="Arial" w:cs="Arial"/>
          <w:lang w:val="fr-CA"/>
        </w:rPr>
        <w:t xml:space="preserve">la conservation </w:t>
      </w:r>
      <w:r w:rsidRPr="003E3E8A">
        <w:rPr>
          <w:rFonts w:ascii="Arial" w:hAnsi="Arial" w:cs="Arial"/>
          <w:lang w:val="fr-CA"/>
        </w:rPr>
        <w:t>d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énergie</w:t>
      </w:r>
    </w:p>
    <w:p w:rsidR="008871C9" w:rsidRPr="003E3E8A" w:rsidRDefault="008871C9" w:rsidP="008871C9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t>Réglementation du secteur de l</w:t>
      </w:r>
      <w:r w:rsidR="006F7F2D" w:rsidRPr="003E3E8A">
        <w:rPr>
          <w:rFonts w:ascii="Arial" w:hAnsi="Arial" w:cs="Arial"/>
          <w:lang w:val="fr-CA"/>
        </w:rPr>
        <w:t>’</w:t>
      </w:r>
      <w:r w:rsidRPr="003E3E8A">
        <w:rPr>
          <w:rFonts w:ascii="Arial" w:hAnsi="Arial" w:cs="Arial"/>
          <w:lang w:val="fr-CA"/>
        </w:rPr>
        <w:t>énergie</w:t>
      </w:r>
    </w:p>
    <w:p w:rsidR="00D54868" w:rsidRPr="003E3E8A" w:rsidRDefault="00D54868" w:rsidP="0038225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fr-CA"/>
        </w:rPr>
      </w:pPr>
      <w:r w:rsidRPr="003E3E8A">
        <w:rPr>
          <w:rFonts w:ascii="Arial" w:hAnsi="Arial" w:cs="Arial"/>
          <w:lang w:val="fr-CA"/>
        </w:rPr>
        <w:br w:type="page"/>
      </w:r>
    </w:p>
    <w:p w:rsidR="00860C43" w:rsidRPr="003E3E8A" w:rsidRDefault="00860C43" w:rsidP="00D54868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fr-CA"/>
        </w:rPr>
      </w:pPr>
    </w:p>
    <w:p w:rsidR="00D54868" w:rsidRPr="003E3E8A" w:rsidRDefault="00D54868" w:rsidP="00D54868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fr-CA"/>
        </w:rPr>
      </w:pPr>
    </w:p>
    <w:p w:rsidR="001C4E13" w:rsidRPr="003E3E8A" w:rsidRDefault="006A0C7D" w:rsidP="008409B8">
      <w:pPr>
        <w:pStyle w:val="Heading1"/>
        <w:rPr>
          <w:color w:val="808080"/>
        </w:rPr>
      </w:pPr>
      <w:bookmarkStart w:id="11" w:name="_Toc469918984"/>
      <w:r w:rsidRPr="003E3E8A">
        <w:t>Annexe A</w:t>
      </w:r>
      <w:r w:rsidR="006F7F2D" w:rsidRPr="003E3E8A">
        <w:t> </w:t>
      </w:r>
      <w:r w:rsidRPr="003E3E8A">
        <w:t>: Analyse des sous-secteurs de l’énergie</w:t>
      </w:r>
      <w:bookmarkEnd w:id="11"/>
    </w:p>
    <w:p w:rsidR="004B5EDC" w:rsidRPr="003E3E8A" w:rsidRDefault="004B5EDC" w:rsidP="001C4E13">
      <w:pPr>
        <w:rPr>
          <w:rFonts w:ascii="Arial" w:hAnsi="Arial" w:cs="Arial"/>
          <w:b/>
          <w:color w:val="808080"/>
          <w:lang w:val="fr-CA"/>
        </w:rPr>
        <w:sectPr w:rsidR="004B5EDC" w:rsidRPr="003E3E8A" w:rsidSect="006F7F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797" w:bottom="1440" w:left="1797" w:header="72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954"/>
        <w:gridCol w:w="1995"/>
        <w:gridCol w:w="2066"/>
        <w:gridCol w:w="2507"/>
        <w:gridCol w:w="2098"/>
        <w:gridCol w:w="2326"/>
      </w:tblGrid>
      <w:tr w:rsidR="0070595D" w:rsidRPr="00587318" w:rsidTr="00DA32A3">
        <w:trPr>
          <w:cantSplit/>
          <w:tblHeader/>
        </w:trPr>
        <w:tc>
          <w:tcPr>
            <w:tcW w:w="1684" w:type="dxa"/>
            <w:shd w:val="clear" w:color="auto" w:fill="auto"/>
          </w:tcPr>
          <w:p w:rsidR="00DA32A3" w:rsidRPr="003E3E8A" w:rsidRDefault="00DA32A3" w:rsidP="00DA32A3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lastRenderedPageBreak/>
              <w:t>Sous-secteur</w:t>
            </w:r>
          </w:p>
        </w:tc>
        <w:tc>
          <w:tcPr>
            <w:tcW w:w="1960" w:type="dxa"/>
            <w:shd w:val="clear" w:color="auto" w:fill="auto"/>
          </w:tcPr>
          <w:p w:rsidR="00DA32A3" w:rsidRPr="003E3E8A" w:rsidRDefault="00DA32A3" w:rsidP="00DA32A3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Description du sous-secteur</w:t>
            </w:r>
          </w:p>
        </w:tc>
        <w:tc>
          <w:tcPr>
            <w:tcW w:w="1595" w:type="dxa"/>
            <w:shd w:val="clear" w:color="auto" w:fill="auto"/>
          </w:tcPr>
          <w:p w:rsidR="00DA32A3" w:rsidRPr="003E3E8A" w:rsidRDefault="00DA32A3" w:rsidP="00DA32A3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Fonction connexe du gouvernement et ministère de l’Ontario responsable</w:t>
            </w:r>
          </w:p>
        </w:tc>
        <w:tc>
          <w:tcPr>
            <w:tcW w:w="2126" w:type="dxa"/>
            <w:shd w:val="clear" w:color="auto" w:fill="auto"/>
          </w:tcPr>
          <w:p w:rsidR="00DA32A3" w:rsidRPr="003E3E8A" w:rsidRDefault="00DA32A3" w:rsidP="00DA32A3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Collections privées connexes des Archives publiques de l’Ontario (contenant des documents pour la période ultérieure à 1980)</w:t>
            </w:r>
          </w:p>
        </w:tc>
        <w:tc>
          <w:tcPr>
            <w:tcW w:w="2547" w:type="dxa"/>
            <w:shd w:val="clear" w:color="auto" w:fill="auto"/>
          </w:tcPr>
          <w:p w:rsidR="00DA32A3" w:rsidRPr="003E3E8A" w:rsidRDefault="00DA32A3" w:rsidP="00DA32A3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Justification raisonnée des sous-secteurs</w:t>
            </w:r>
          </w:p>
        </w:tc>
        <w:tc>
          <w:tcPr>
            <w:tcW w:w="2131" w:type="dxa"/>
            <w:shd w:val="clear" w:color="auto" w:fill="auto"/>
          </w:tcPr>
          <w:p w:rsidR="00DA32A3" w:rsidRPr="003E3E8A" w:rsidRDefault="00DA32A3" w:rsidP="00DA32A3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Consid</w:t>
            </w:r>
            <w:r w:rsidR="006F7F2D" w:rsidRPr="003E3E8A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é</w:t>
            </w:r>
            <w:r w:rsidRPr="003E3E8A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rations relatives aux acquisitions</w:t>
            </w:r>
          </w:p>
        </w:tc>
        <w:tc>
          <w:tcPr>
            <w:tcW w:w="2409" w:type="dxa"/>
            <w:shd w:val="clear" w:color="auto" w:fill="auto"/>
          </w:tcPr>
          <w:p w:rsidR="00DA32A3" w:rsidRPr="003E3E8A" w:rsidRDefault="00DA32A3" w:rsidP="00DA32A3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Priorité :</w:t>
            </w:r>
            <w:r w:rsidRPr="003E3E8A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br/>
              <w:t>Élevée</w:t>
            </w:r>
            <w:r w:rsidRPr="003E3E8A">
              <w:rPr>
                <w:rFonts w:ascii="Arial" w:hAnsi="Arial" w:cs="Arial"/>
                <w:sz w:val="20"/>
                <w:szCs w:val="20"/>
                <w:lang w:val="fr-CA"/>
              </w:rPr>
              <w:t xml:space="preserve"> (les APO ont très peu de documents, voire aucun) </w:t>
            </w:r>
            <w:r w:rsidRPr="003E3E8A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Pr="003E3E8A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Moyenne </w:t>
            </w:r>
            <w:r w:rsidRPr="003E3E8A">
              <w:rPr>
                <w:rFonts w:ascii="Arial" w:hAnsi="Arial" w:cs="Arial"/>
                <w:sz w:val="20"/>
                <w:szCs w:val="20"/>
                <w:lang w:val="fr-CA"/>
              </w:rPr>
              <w:t xml:space="preserve">(les APO ont un peu de documents) </w:t>
            </w:r>
            <w:r w:rsidRPr="003E3E8A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Pr="003E3E8A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Faible </w:t>
            </w:r>
            <w:r w:rsidRPr="003E3E8A">
              <w:rPr>
                <w:rFonts w:ascii="Arial" w:hAnsi="Arial" w:cs="Arial"/>
                <w:sz w:val="20"/>
                <w:szCs w:val="20"/>
                <w:lang w:val="fr-CA"/>
              </w:rPr>
              <w:t>(les APO ont beaucoup de documents)</w:t>
            </w:r>
          </w:p>
        </w:tc>
      </w:tr>
      <w:tr w:rsidR="0070595D" w:rsidRPr="003E3E8A" w:rsidTr="00DA32A3">
        <w:trPr>
          <w:cantSplit/>
        </w:trPr>
        <w:tc>
          <w:tcPr>
            <w:tcW w:w="1684" w:type="dxa"/>
            <w:shd w:val="clear" w:color="auto" w:fill="auto"/>
          </w:tcPr>
          <w:p w:rsidR="005711C4" w:rsidRPr="003E3E8A" w:rsidRDefault="00E5626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Générateurs d’électricité pour les entreprises</w:t>
            </w:r>
          </w:p>
        </w:tc>
        <w:tc>
          <w:tcPr>
            <w:tcW w:w="1960" w:type="dxa"/>
            <w:shd w:val="clear" w:color="auto" w:fill="auto"/>
          </w:tcPr>
          <w:p w:rsidR="005711C4" w:rsidRPr="003E3E8A" w:rsidRDefault="001973A7" w:rsidP="00052D44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Ce sous-secteur comprend </w:t>
            </w:r>
            <w:r w:rsidR="00052D44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l’ensemble des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entreprises qui exploitent des </w:t>
            </w:r>
            <w:r w:rsidR="00382255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centrales </w:t>
            </w:r>
            <w:r w:rsidR="00672799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électriques </w:t>
            </w:r>
            <w:r w:rsidR="00382255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ou d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="00382255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autres </w:t>
            </w:r>
            <w:r w:rsidR="00672799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installations de production</w:t>
            </w:r>
            <w:r w:rsidR="00382255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d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="00382255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énergie </w:t>
            </w:r>
            <w:r w:rsidR="00672799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dans un</w:t>
            </w:r>
            <w:r w:rsidR="00382255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but lucratif.</w:t>
            </w:r>
          </w:p>
        </w:tc>
        <w:tc>
          <w:tcPr>
            <w:tcW w:w="1595" w:type="dxa"/>
            <w:shd w:val="clear" w:color="auto" w:fill="auto"/>
          </w:tcPr>
          <w:p w:rsidR="005711C4" w:rsidRPr="003E3E8A" w:rsidRDefault="00E56263" w:rsidP="00E5626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Gestion de l’approvisionnement en énergie</w:t>
            </w:r>
            <w:r w:rsidR="005711C4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(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Énergie</w:t>
            </w:r>
            <w:r w:rsidR="005711C4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5711C4" w:rsidRPr="003E3E8A" w:rsidRDefault="00DA32A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Aucune collection connexe</w:t>
            </w:r>
          </w:p>
        </w:tc>
        <w:tc>
          <w:tcPr>
            <w:tcW w:w="2547" w:type="dxa"/>
            <w:shd w:val="clear" w:color="auto" w:fill="auto"/>
          </w:tcPr>
          <w:p w:rsidR="005711C4" w:rsidRPr="003E3E8A" w:rsidRDefault="001973A7" w:rsidP="00976AEF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Ce sous-secteur comprend les </w:t>
            </w:r>
            <w:r w:rsidR="00976AEF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entreprises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ayant un intérêt direct dans la production et la vente </w:t>
            </w:r>
            <w:r w:rsidR="00976AEF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d’électricité 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dans la province. </w:t>
            </w:r>
            <w:r w:rsidR="00976AEF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Les documents de ces organisations préciseront l’orientation de l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="00976AEF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entreprise et leur intérêt dans le secteur de l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="00976AEF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énergie, ainsi que tout écart par rapport aux objectifs du gouvernement.</w:t>
            </w:r>
          </w:p>
        </w:tc>
        <w:tc>
          <w:tcPr>
            <w:tcW w:w="2131" w:type="dxa"/>
            <w:shd w:val="clear" w:color="auto" w:fill="auto"/>
          </w:tcPr>
          <w:p w:rsidR="005711C4" w:rsidRPr="003E3E8A" w:rsidRDefault="00DA32A3" w:rsidP="00DA32A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sz w:val="20"/>
                <w:szCs w:val="20"/>
                <w:lang w:val="fr-CA"/>
              </w:rPr>
              <w:t>Les Archives publiques de l’Ontario n’ont aucune collection liée à ce sous-secteur pour la période ultérieure à 1980.</w:t>
            </w:r>
          </w:p>
        </w:tc>
        <w:tc>
          <w:tcPr>
            <w:tcW w:w="2409" w:type="dxa"/>
            <w:shd w:val="clear" w:color="auto" w:fill="auto"/>
          </w:tcPr>
          <w:p w:rsidR="005711C4" w:rsidRPr="003E3E8A" w:rsidRDefault="006A0C7D" w:rsidP="006A0C7D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sz w:val="20"/>
                <w:szCs w:val="20"/>
                <w:lang w:val="fr-CA"/>
              </w:rPr>
              <w:t>PRIORITÉ ÉLEVÉE</w:t>
            </w:r>
          </w:p>
        </w:tc>
      </w:tr>
      <w:tr w:rsidR="0070595D" w:rsidRPr="003E3E8A" w:rsidTr="00DA32A3">
        <w:trPr>
          <w:cantSplit/>
        </w:trPr>
        <w:tc>
          <w:tcPr>
            <w:tcW w:w="1684" w:type="dxa"/>
            <w:shd w:val="clear" w:color="auto" w:fill="auto"/>
          </w:tcPr>
          <w:p w:rsidR="005711C4" w:rsidRPr="003E3E8A" w:rsidRDefault="00E5626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Générateurs d’électricité pour les communautés et les particuliers</w:t>
            </w:r>
          </w:p>
        </w:tc>
        <w:tc>
          <w:tcPr>
            <w:tcW w:w="1960" w:type="dxa"/>
            <w:shd w:val="clear" w:color="auto" w:fill="auto"/>
          </w:tcPr>
          <w:p w:rsidR="005711C4" w:rsidRPr="003E3E8A" w:rsidRDefault="001973A7" w:rsidP="00976AEF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Ce sous-secteur comprend les </w:t>
            </w:r>
            <w:r w:rsidR="00976AEF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particuliers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, les organismes communautaires, les coopératives et d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autres </w:t>
            </w:r>
            <w:r w:rsidR="00976AEF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parties 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qui exploitent des centrales ou d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autres </w:t>
            </w:r>
            <w:r w:rsidR="00976AEF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types d’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installation de production </w:t>
            </w:r>
            <w:r w:rsidR="00976AEF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d’électricité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, </w:t>
            </w:r>
            <w:r w:rsidR="00382255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soit directement ou indirectement (</w:t>
            </w:r>
            <w:r w:rsidR="00976AEF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en étant partiellement propriétaire</w:t>
            </w:r>
            <w:r w:rsidR="00382255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) </w:t>
            </w:r>
            <w:r w:rsidR="006373D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dans</w:t>
            </w:r>
            <w:r w:rsidR="00382255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un but non lucratif ou </w:t>
            </w:r>
            <w:r w:rsidR="006373D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pour le</w:t>
            </w:r>
            <w:r w:rsidR="00382255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recouvrement des coûts.</w:t>
            </w:r>
          </w:p>
        </w:tc>
        <w:tc>
          <w:tcPr>
            <w:tcW w:w="1595" w:type="dxa"/>
            <w:shd w:val="clear" w:color="auto" w:fill="auto"/>
          </w:tcPr>
          <w:p w:rsidR="005711C4" w:rsidRPr="003E3E8A" w:rsidRDefault="00E5626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Gestion de l’approvisionnement en énergie (Énergie)</w:t>
            </w:r>
          </w:p>
        </w:tc>
        <w:tc>
          <w:tcPr>
            <w:tcW w:w="2126" w:type="dxa"/>
            <w:shd w:val="clear" w:color="auto" w:fill="auto"/>
          </w:tcPr>
          <w:p w:rsidR="005711C4" w:rsidRPr="003E3E8A" w:rsidRDefault="00DA32A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Aucune collection connexe</w:t>
            </w:r>
          </w:p>
        </w:tc>
        <w:tc>
          <w:tcPr>
            <w:tcW w:w="2547" w:type="dxa"/>
            <w:shd w:val="clear" w:color="auto" w:fill="auto"/>
          </w:tcPr>
          <w:p w:rsidR="005711C4" w:rsidRPr="003E3E8A" w:rsidRDefault="001973A7" w:rsidP="00976AEF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Ce sous-secteur comprend les </w:t>
            </w:r>
            <w:r w:rsidR="00976AEF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particuliers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, les organismes communautaires et les coopératives ayant un intérêt direct ou indirect dans la production et la vente d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électricité dans la province. </w:t>
            </w:r>
            <w:r w:rsidR="00976AEF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Les documents de ces organismes préciseront l’orientation coopérative et leur intérêt dans le secteur de l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="00976AEF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énergie, ainsi que tout écart par rapport aux objectifs du gouvernement.</w:t>
            </w:r>
          </w:p>
        </w:tc>
        <w:tc>
          <w:tcPr>
            <w:tcW w:w="2131" w:type="dxa"/>
            <w:shd w:val="clear" w:color="auto" w:fill="auto"/>
          </w:tcPr>
          <w:p w:rsidR="005711C4" w:rsidRPr="003E3E8A" w:rsidRDefault="00DA32A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sz w:val="20"/>
                <w:szCs w:val="20"/>
                <w:lang w:val="fr-CA"/>
              </w:rPr>
              <w:t>Les Archives publiques de l’Ontario n’ont aucune collection liée à ce sous-secteur pour la période ultérieure à 1980.</w:t>
            </w:r>
          </w:p>
        </w:tc>
        <w:tc>
          <w:tcPr>
            <w:tcW w:w="2409" w:type="dxa"/>
            <w:shd w:val="clear" w:color="auto" w:fill="auto"/>
          </w:tcPr>
          <w:p w:rsidR="005711C4" w:rsidRPr="003E3E8A" w:rsidRDefault="00DA32A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PRIORITÉ ÉLEVÉE</w:t>
            </w:r>
          </w:p>
        </w:tc>
      </w:tr>
      <w:tr w:rsidR="0070595D" w:rsidRPr="003E3E8A" w:rsidTr="00DA32A3">
        <w:trPr>
          <w:cantSplit/>
        </w:trPr>
        <w:tc>
          <w:tcPr>
            <w:tcW w:w="1684" w:type="dxa"/>
            <w:shd w:val="clear" w:color="auto" w:fill="auto"/>
          </w:tcPr>
          <w:p w:rsidR="005711C4" w:rsidRPr="003E3E8A" w:rsidRDefault="00E56263" w:rsidP="000F7960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lastRenderedPageBreak/>
              <w:t xml:space="preserve">Organismes de gestion, de </w:t>
            </w:r>
            <w:r w:rsidR="000F7960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transport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et de planification de l’électricité</w:t>
            </w:r>
          </w:p>
        </w:tc>
        <w:tc>
          <w:tcPr>
            <w:tcW w:w="1960" w:type="dxa"/>
            <w:shd w:val="clear" w:color="auto" w:fill="auto"/>
          </w:tcPr>
          <w:p w:rsidR="005711C4" w:rsidRPr="003E3E8A" w:rsidRDefault="00222A8C" w:rsidP="00976AEF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Ce sous-secteur comprend tous les organismes </w:t>
            </w:r>
            <w:r w:rsidR="00976AEF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chargés d’assurer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l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intégrité du réseau </w:t>
            </w:r>
            <w:r w:rsidR="00976AEF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d’électricité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et la planification de la viabilité à court et à long terme de la production </w:t>
            </w:r>
            <w:r w:rsidR="00976AEF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d’électricité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dans la province. </w:t>
            </w:r>
            <w:r w:rsidR="00976AEF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Il s’agit en majeure partie d’organismes</w:t>
            </w:r>
            <w:r w:rsidR="00C9017A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quasi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</w:t>
            </w:r>
            <w:r w:rsidR="00C9017A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gouvernementa</w:t>
            </w:r>
            <w:r w:rsidR="00976AEF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ux</w:t>
            </w:r>
            <w:r w:rsidR="00C9017A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5711C4" w:rsidRPr="003E3E8A" w:rsidRDefault="00E56263" w:rsidP="00E5626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Réglementation du secteur de l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énergie</w:t>
            </w:r>
            <w:r w:rsidR="005711C4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(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Énergie</w:t>
            </w:r>
            <w:r w:rsidR="005711C4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5711C4" w:rsidRPr="003E3E8A" w:rsidRDefault="005711C4" w:rsidP="00976AEF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F 4617 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Fonds</w:t>
            </w:r>
            <w:r w:rsidR="00976AEF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pour les normes techniques et de la sécurité</w:t>
            </w:r>
          </w:p>
        </w:tc>
        <w:tc>
          <w:tcPr>
            <w:tcW w:w="2547" w:type="dxa"/>
            <w:shd w:val="clear" w:color="auto" w:fill="auto"/>
          </w:tcPr>
          <w:p w:rsidR="005711C4" w:rsidRPr="003E3E8A" w:rsidRDefault="00222A8C" w:rsidP="00052D44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Ce sous-secteur comprend des </w:t>
            </w:r>
            <w:r w:rsidR="00976AEF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organismes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qui garantissent l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alimentation </w:t>
            </w:r>
            <w:r w:rsidR="00052D44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quotidienne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en électricité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aux citoyens ontariens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. </w:t>
            </w:r>
            <w:r w:rsidR="00C9017A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Les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documents</w:t>
            </w:r>
            <w:r w:rsidR="00C9017A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de ces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organismes </w:t>
            </w:r>
            <w:r w:rsidR="00C9017A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documenteront les priorités politiques et les changements dans l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e</w:t>
            </w:r>
            <w:r w:rsidR="00C9017A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</w:t>
            </w:r>
            <w:r w:rsidR="000F7960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transport d’électricité</w:t>
            </w:r>
            <w:r w:rsidR="00C9017A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.</w:t>
            </w:r>
          </w:p>
        </w:tc>
        <w:tc>
          <w:tcPr>
            <w:tcW w:w="2131" w:type="dxa"/>
            <w:shd w:val="clear" w:color="auto" w:fill="auto"/>
          </w:tcPr>
          <w:p w:rsidR="005711C4" w:rsidRPr="003E3E8A" w:rsidRDefault="00DA32A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sz w:val="20"/>
                <w:szCs w:val="20"/>
                <w:lang w:val="fr-CA"/>
              </w:rPr>
              <w:t>Les collections des Archives publiques de l’Ontario pour ce sous-secteur sont très limitées pour la période ultérieure à 1980.</w:t>
            </w:r>
          </w:p>
        </w:tc>
        <w:tc>
          <w:tcPr>
            <w:tcW w:w="2409" w:type="dxa"/>
            <w:shd w:val="clear" w:color="auto" w:fill="auto"/>
          </w:tcPr>
          <w:p w:rsidR="005711C4" w:rsidRPr="003E3E8A" w:rsidRDefault="00DA32A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PRIORITÉ ÉLEVÉE</w:t>
            </w:r>
          </w:p>
        </w:tc>
      </w:tr>
      <w:tr w:rsidR="0070595D" w:rsidRPr="003E3E8A" w:rsidTr="00DA32A3">
        <w:trPr>
          <w:cantSplit/>
        </w:trPr>
        <w:tc>
          <w:tcPr>
            <w:tcW w:w="1684" w:type="dxa"/>
            <w:shd w:val="clear" w:color="auto" w:fill="auto"/>
          </w:tcPr>
          <w:p w:rsidR="005711C4" w:rsidRPr="003E3E8A" w:rsidRDefault="00DA32A3" w:rsidP="00DA32A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Organismes de pression</w:t>
            </w:r>
          </w:p>
        </w:tc>
        <w:tc>
          <w:tcPr>
            <w:tcW w:w="1960" w:type="dxa"/>
            <w:shd w:val="clear" w:color="auto" w:fill="auto"/>
          </w:tcPr>
          <w:p w:rsidR="005711C4" w:rsidRPr="003E3E8A" w:rsidRDefault="00C9017A" w:rsidP="00362CA7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Ce sous-secteur comprend des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organismes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qui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défendent ou dénoncent 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diverses sources d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énergie en Ontario, ou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qui militent 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pour la conservation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globale 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de l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énergie.</w:t>
            </w:r>
          </w:p>
        </w:tc>
        <w:tc>
          <w:tcPr>
            <w:tcW w:w="1595" w:type="dxa"/>
            <w:shd w:val="clear" w:color="auto" w:fill="auto"/>
          </w:tcPr>
          <w:p w:rsidR="003E3E8A" w:rsidRPr="003E3E8A" w:rsidRDefault="00E56263" w:rsidP="003E3E8A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Promotion de </w:t>
            </w:r>
            <w:r w:rsidR="0086168B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la conservation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d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énergie</w:t>
            </w:r>
          </w:p>
          <w:p w:rsidR="005711C4" w:rsidRPr="003E3E8A" w:rsidRDefault="005711C4" w:rsidP="003E3E8A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(</w:t>
            </w:r>
            <w:r w:rsidR="00E56263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Énergie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5711C4" w:rsidRPr="003E3E8A" w:rsidRDefault="005711C4" w:rsidP="00362CA7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F 1057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Fonds 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Energy Probe, F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 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1048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Fonds 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Pollution Probe, F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4642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Fonds 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Michael Hough</w:t>
            </w:r>
          </w:p>
        </w:tc>
        <w:tc>
          <w:tcPr>
            <w:tcW w:w="2547" w:type="dxa"/>
            <w:shd w:val="clear" w:color="auto" w:fill="auto"/>
          </w:tcPr>
          <w:p w:rsidR="005711C4" w:rsidRPr="003E3E8A" w:rsidRDefault="001973A7" w:rsidP="00362CA7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Cette sous-catégorie comprend les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organismes actifs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dans la société sur une base quotidienne dans le but de façonner le discours politique sur les options énergétiques.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Les documents de ces organismes préciseront leur position non gouvernementale à l’égard de la production et du transport d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électricité dans la province, et documenteront les interactions entre la province et le citoyen à cet égard.</w:t>
            </w:r>
          </w:p>
        </w:tc>
        <w:tc>
          <w:tcPr>
            <w:tcW w:w="2131" w:type="dxa"/>
            <w:shd w:val="clear" w:color="auto" w:fill="auto"/>
          </w:tcPr>
          <w:p w:rsidR="005711C4" w:rsidRPr="003E3E8A" w:rsidRDefault="00DA32A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sz w:val="20"/>
                <w:szCs w:val="20"/>
                <w:lang w:val="fr-CA"/>
              </w:rPr>
              <w:t>Les collections des Archives publiques de l’Ontario pour ce sous-secteur sont très limitées pour la période ultérieure à 1980.</w:t>
            </w:r>
          </w:p>
        </w:tc>
        <w:tc>
          <w:tcPr>
            <w:tcW w:w="2409" w:type="dxa"/>
            <w:shd w:val="clear" w:color="auto" w:fill="auto"/>
          </w:tcPr>
          <w:p w:rsidR="005711C4" w:rsidRPr="003E3E8A" w:rsidRDefault="00DA32A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PRIORITÉ ÉLEVÉE</w:t>
            </w:r>
          </w:p>
        </w:tc>
      </w:tr>
      <w:tr w:rsidR="0070595D" w:rsidRPr="003E3E8A" w:rsidTr="00DA32A3">
        <w:trPr>
          <w:cantSplit/>
        </w:trPr>
        <w:tc>
          <w:tcPr>
            <w:tcW w:w="1684" w:type="dxa"/>
            <w:shd w:val="clear" w:color="auto" w:fill="auto"/>
          </w:tcPr>
          <w:p w:rsidR="005711C4" w:rsidRPr="003E3E8A" w:rsidRDefault="00E5626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lastRenderedPageBreak/>
              <w:t>Chercheurs d’énergies de remplacement</w:t>
            </w:r>
          </w:p>
        </w:tc>
        <w:tc>
          <w:tcPr>
            <w:tcW w:w="1960" w:type="dxa"/>
            <w:shd w:val="clear" w:color="auto" w:fill="auto"/>
          </w:tcPr>
          <w:p w:rsidR="005711C4" w:rsidRPr="003E3E8A" w:rsidRDefault="00C9017A" w:rsidP="00362CA7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Ce sous-secteur comprend les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particuliers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,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les 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groupes ou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les 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sociétés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menant des 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recherche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s sur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d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autres sources d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énergie.</w:t>
            </w:r>
          </w:p>
        </w:tc>
        <w:tc>
          <w:tcPr>
            <w:tcW w:w="1595" w:type="dxa"/>
            <w:shd w:val="clear" w:color="auto" w:fill="auto"/>
          </w:tcPr>
          <w:p w:rsidR="005711C4" w:rsidRPr="003E3E8A" w:rsidRDefault="00E56263" w:rsidP="00E5626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Gestion de l’approvisionnement en énergie</w:t>
            </w:r>
            <w:r w:rsidR="005711C4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(Énergie</w:t>
            </w:r>
            <w:r w:rsidR="005711C4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5711C4" w:rsidRPr="003E3E8A" w:rsidRDefault="00DA32A3" w:rsidP="00DA32A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Aucune collection connexe</w:t>
            </w:r>
          </w:p>
        </w:tc>
        <w:tc>
          <w:tcPr>
            <w:tcW w:w="2547" w:type="dxa"/>
            <w:shd w:val="clear" w:color="auto" w:fill="auto"/>
          </w:tcPr>
          <w:p w:rsidR="005711C4" w:rsidRPr="003E3E8A" w:rsidRDefault="00404F4A" w:rsidP="003E3E8A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Cette sous-catégorie comprend les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particuliers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dont les activités visent à améliorer la qualité de vie globale de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s citoyens de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l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Ontario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en proposant des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options énergétiques propres et abordables.</w:t>
            </w:r>
            <w:r w:rsidR="00E0035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Les documents de </w:t>
            </w:r>
            <w:r w:rsidR="003E3E8A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ce sous-secteur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documenteront les innovations significatives dans le secteur de l</w:t>
            </w:r>
            <w:r w:rsidR="006F7F2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énergie, et </w:t>
            </w:r>
            <w:r w:rsidR="003E3E8A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l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es options politiques à la disposition du gouvernement pour modifier le réseau de production et de transport d’électricité.</w:t>
            </w:r>
          </w:p>
        </w:tc>
        <w:tc>
          <w:tcPr>
            <w:tcW w:w="2131" w:type="dxa"/>
            <w:shd w:val="clear" w:color="auto" w:fill="auto"/>
          </w:tcPr>
          <w:p w:rsidR="005711C4" w:rsidRPr="003E3E8A" w:rsidRDefault="00DA32A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sz w:val="20"/>
                <w:szCs w:val="20"/>
                <w:lang w:val="fr-CA"/>
              </w:rPr>
              <w:t>Les Archives publiques de l’Ontario n’ont aucune collection liée à ce sous-secteur pour la période ultérieure à 1980.</w:t>
            </w:r>
          </w:p>
        </w:tc>
        <w:tc>
          <w:tcPr>
            <w:tcW w:w="2409" w:type="dxa"/>
            <w:shd w:val="clear" w:color="auto" w:fill="auto"/>
          </w:tcPr>
          <w:p w:rsidR="005711C4" w:rsidRPr="003E3E8A" w:rsidRDefault="00DA32A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PRIORITÉ ÉLEVÉE</w:t>
            </w:r>
          </w:p>
        </w:tc>
      </w:tr>
      <w:tr w:rsidR="0070595D" w:rsidRPr="003E3E8A" w:rsidTr="00DA32A3">
        <w:trPr>
          <w:cantSplit/>
        </w:trPr>
        <w:tc>
          <w:tcPr>
            <w:tcW w:w="1684" w:type="dxa"/>
            <w:shd w:val="clear" w:color="auto" w:fill="auto"/>
          </w:tcPr>
          <w:p w:rsidR="005711C4" w:rsidRPr="003E3E8A" w:rsidRDefault="00E5626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lastRenderedPageBreak/>
              <w:t>Fournisseurs de matières premières</w:t>
            </w:r>
          </w:p>
        </w:tc>
        <w:tc>
          <w:tcPr>
            <w:tcW w:w="1960" w:type="dxa"/>
            <w:shd w:val="clear" w:color="auto" w:fill="auto"/>
          </w:tcPr>
          <w:p w:rsidR="005711C4" w:rsidRPr="003E3E8A" w:rsidRDefault="00C9017A" w:rsidP="0070595D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Ce sous-secteur comprend tou</w:t>
            </w:r>
            <w:r w:rsidR="0070595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te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s les </w:t>
            </w:r>
            <w:r w:rsidR="0070595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organisations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chargé</w:t>
            </w:r>
            <w:r w:rsidR="0070595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e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s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</w:t>
            </w:r>
            <w:r w:rsidR="0070595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de produire et de vendre les matières premières qui permettent de produire de l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’électricité</w:t>
            </w: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en Ontario</w:t>
            </w:r>
            <w:r w:rsidR="00404F4A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5711C4" w:rsidRPr="003E3E8A" w:rsidRDefault="00E5626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Gestion de l’approvisionnement en énergie (Énergie)</w:t>
            </w:r>
          </w:p>
        </w:tc>
        <w:tc>
          <w:tcPr>
            <w:tcW w:w="2126" w:type="dxa"/>
            <w:shd w:val="clear" w:color="auto" w:fill="auto"/>
          </w:tcPr>
          <w:p w:rsidR="005711C4" w:rsidRPr="003E3E8A" w:rsidRDefault="00DA32A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Aucune collection connexe</w:t>
            </w:r>
          </w:p>
        </w:tc>
        <w:tc>
          <w:tcPr>
            <w:tcW w:w="2547" w:type="dxa"/>
            <w:shd w:val="clear" w:color="auto" w:fill="auto"/>
          </w:tcPr>
          <w:p w:rsidR="005711C4" w:rsidRPr="003E3E8A" w:rsidRDefault="003E3E8A" w:rsidP="003E3E8A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Ce sous-secteur</w:t>
            </w:r>
            <w:r w:rsidR="00404F4A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comprend les </w:t>
            </w:r>
            <w:r w:rsidR="0070595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organisations qui fournissent</w:t>
            </w:r>
            <w:r w:rsidR="00404F4A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de</w:t>
            </w:r>
            <w:r w:rsidR="0070595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s</w:t>
            </w:r>
            <w:r w:rsidR="00404F4A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matières premières essentielle</w:t>
            </w:r>
            <w:r w:rsidR="0070595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s</w:t>
            </w:r>
            <w:r w:rsidR="00404F4A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au fonctionnement des centrales </w:t>
            </w:r>
            <w:r w:rsidR="0070595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électriques</w:t>
            </w:r>
            <w:r w:rsidR="00404F4A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active</w:t>
            </w:r>
            <w:r w:rsidR="0070595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s</w:t>
            </w:r>
            <w:r w:rsidR="00404F4A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en Ontario</w:t>
            </w:r>
            <w:r w:rsidR="00E0035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.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Les documents de ces </w:t>
            </w:r>
            <w:r w:rsidR="0070595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organisations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documenteront les capacités et les limites </w:t>
            </w:r>
            <w:r w:rsidR="0070595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décisionnelles à l’égard des politiques visant à garantir l’approvisionnement en 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matières premières pour </w:t>
            </w:r>
            <w:r w:rsidR="0070595D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produire et transporter l’électricité en Ontario</w:t>
            </w:r>
            <w:r w:rsidR="00362CA7"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.</w:t>
            </w:r>
          </w:p>
        </w:tc>
        <w:tc>
          <w:tcPr>
            <w:tcW w:w="2131" w:type="dxa"/>
            <w:shd w:val="clear" w:color="auto" w:fill="auto"/>
          </w:tcPr>
          <w:p w:rsidR="005711C4" w:rsidRPr="003E3E8A" w:rsidRDefault="00DA32A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sz w:val="20"/>
                <w:szCs w:val="20"/>
                <w:lang w:val="fr-CA"/>
              </w:rPr>
              <w:t>Les Archives publiques de l’Ontario n’ont aucune collection liée à ce sous-secteur pour la période ultérieure à 1980.</w:t>
            </w:r>
          </w:p>
        </w:tc>
        <w:tc>
          <w:tcPr>
            <w:tcW w:w="2409" w:type="dxa"/>
            <w:shd w:val="clear" w:color="auto" w:fill="auto"/>
          </w:tcPr>
          <w:p w:rsidR="005711C4" w:rsidRPr="003E3E8A" w:rsidRDefault="00DA32A3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3E3E8A">
              <w:rPr>
                <w:rFonts w:ascii="Arial" w:hAnsi="Arial" w:cs="Arial"/>
                <w:iCs/>
                <w:sz w:val="20"/>
                <w:szCs w:val="20"/>
                <w:lang w:val="fr-CA"/>
              </w:rPr>
              <w:t>PRIORITÉ ÉLEVÉE</w:t>
            </w:r>
          </w:p>
        </w:tc>
      </w:tr>
    </w:tbl>
    <w:p w:rsidR="009857E7" w:rsidRPr="003E3E8A" w:rsidRDefault="009857E7" w:rsidP="009857E7">
      <w:pPr>
        <w:rPr>
          <w:rFonts w:ascii="Arial" w:hAnsi="Arial" w:cs="Arial"/>
          <w:sz w:val="20"/>
          <w:szCs w:val="20"/>
          <w:lang w:val="fr-CA"/>
        </w:rPr>
      </w:pPr>
    </w:p>
    <w:sectPr w:rsidR="009857E7" w:rsidRPr="003E3E8A" w:rsidSect="001C4E1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B4" w:rsidRDefault="00B77EB4">
      <w:r>
        <w:separator/>
      </w:r>
    </w:p>
  </w:endnote>
  <w:endnote w:type="continuationSeparator" w:id="0">
    <w:p w:rsidR="00B77EB4" w:rsidRDefault="00B7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2D" w:rsidRDefault="006F7F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3A" w:rsidRPr="006A0C7D" w:rsidRDefault="006A0C7D" w:rsidP="005B143A">
    <w:pPr>
      <w:pStyle w:val="Footer"/>
      <w:rPr>
        <w:lang w:val="fr-CA"/>
      </w:rPr>
    </w:pPr>
    <w:r w:rsidRPr="00976943">
      <w:rPr>
        <w:rFonts w:ascii="Arial" w:hAnsi="Arial" w:cs="Arial"/>
        <w:sz w:val="20"/>
        <w:szCs w:val="20"/>
        <w:lang w:val="fr-CA"/>
      </w:rPr>
      <w:t>Rapport d’analyse du secteur</w:t>
    </w:r>
    <w:r w:rsidRPr="006A0C7D">
      <w:rPr>
        <w:rFonts w:ascii="Arial" w:hAnsi="Arial" w:cs="Arial"/>
        <w:sz w:val="20"/>
        <w:szCs w:val="20"/>
        <w:lang w:val="fr-CA"/>
      </w:rPr>
      <w:t xml:space="preserve"> de l’énergie en </w:t>
    </w:r>
    <w:r w:rsidR="005B143A" w:rsidRPr="006A0C7D">
      <w:rPr>
        <w:rFonts w:ascii="Arial" w:hAnsi="Arial" w:cs="Arial"/>
        <w:sz w:val="20"/>
        <w:szCs w:val="20"/>
        <w:lang w:val="fr-CA"/>
      </w:rPr>
      <w:t>Ontario</w:t>
    </w:r>
    <w:r w:rsidR="005B143A" w:rsidRPr="006A0C7D">
      <w:rPr>
        <w:lang w:val="fr-CA"/>
      </w:rPr>
      <w:tab/>
    </w:r>
    <w:r w:rsidR="005B143A" w:rsidRPr="006A0C7D">
      <w:rPr>
        <w:rFonts w:ascii="Arial" w:hAnsi="Arial" w:cs="Arial"/>
        <w:sz w:val="20"/>
        <w:szCs w:val="20"/>
        <w:lang w:val="fr-CA"/>
      </w:rPr>
      <w:t>Page</w:t>
    </w:r>
    <w:r w:rsidR="006F7F2D">
      <w:rPr>
        <w:rFonts w:ascii="Arial" w:hAnsi="Arial" w:cs="Arial"/>
        <w:sz w:val="20"/>
        <w:szCs w:val="20"/>
        <w:lang w:val="fr-CA"/>
      </w:rPr>
      <w:t> </w:t>
    </w:r>
    <w:r w:rsidR="005B143A" w:rsidRPr="005B143A">
      <w:rPr>
        <w:rFonts w:ascii="Arial" w:hAnsi="Arial" w:cs="Arial"/>
        <w:b/>
        <w:sz w:val="20"/>
        <w:szCs w:val="20"/>
      </w:rPr>
      <w:fldChar w:fldCharType="begin"/>
    </w:r>
    <w:r w:rsidR="005B143A" w:rsidRPr="006A0C7D">
      <w:rPr>
        <w:rFonts w:ascii="Arial" w:hAnsi="Arial" w:cs="Arial"/>
        <w:b/>
        <w:sz w:val="20"/>
        <w:szCs w:val="20"/>
        <w:lang w:val="fr-CA"/>
      </w:rPr>
      <w:instrText xml:space="preserve"> PAGE  \* Arabic  \* MERGEFORMAT </w:instrText>
    </w:r>
    <w:r w:rsidR="005B143A" w:rsidRPr="005B143A">
      <w:rPr>
        <w:rFonts w:ascii="Arial" w:hAnsi="Arial" w:cs="Arial"/>
        <w:b/>
        <w:sz w:val="20"/>
        <w:szCs w:val="20"/>
      </w:rPr>
      <w:fldChar w:fldCharType="separate"/>
    </w:r>
    <w:r w:rsidR="00587318">
      <w:rPr>
        <w:rFonts w:ascii="Arial" w:hAnsi="Arial" w:cs="Arial"/>
        <w:b/>
        <w:noProof/>
        <w:sz w:val="20"/>
        <w:szCs w:val="20"/>
        <w:lang w:val="fr-CA"/>
      </w:rPr>
      <w:t>3</w:t>
    </w:r>
    <w:r w:rsidR="005B143A" w:rsidRPr="005B143A">
      <w:rPr>
        <w:rFonts w:ascii="Arial" w:hAnsi="Arial" w:cs="Arial"/>
        <w:b/>
        <w:sz w:val="20"/>
        <w:szCs w:val="20"/>
      </w:rPr>
      <w:fldChar w:fldCharType="end"/>
    </w:r>
    <w:r w:rsidR="005B143A" w:rsidRPr="006A0C7D">
      <w:rPr>
        <w:rFonts w:ascii="Arial" w:hAnsi="Arial" w:cs="Arial"/>
        <w:sz w:val="20"/>
        <w:szCs w:val="20"/>
        <w:lang w:val="fr-CA"/>
      </w:rPr>
      <w:t xml:space="preserve"> </w:t>
    </w:r>
    <w:r>
      <w:rPr>
        <w:rFonts w:ascii="Arial" w:hAnsi="Arial" w:cs="Arial"/>
        <w:sz w:val="20"/>
        <w:szCs w:val="20"/>
        <w:lang w:val="fr-CA"/>
      </w:rPr>
      <w:t>de</w:t>
    </w:r>
    <w:r w:rsidR="005B143A" w:rsidRPr="006A0C7D">
      <w:rPr>
        <w:rFonts w:ascii="Arial" w:hAnsi="Arial" w:cs="Arial"/>
        <w:sz w:val="20"/>
        <w:szCs w:val="20"/>
        <w:lang w:val="fr-CA"/>
      </w:rPr>
      <w:t xml:space="preserve"> </w:t>
    </w:r>
    <w:r w:rsidR="005B143A" w:rsidRPr="005B143A">
      <w:rPr>
        <w:rFonts w:ascii="Arial" w:hAnsi="Arial" w:cs="Arial"/>
        <w:b/>
        <w:sz w:val="20"/>
        <w:szCs w:val="20"/>
      </w:rPr>
      <w:fldChar w:fldCharType="begin"/>
    </w:r>
    <w:r w:rsidR="005B143A" w:rsidRPr="006A0C7D">
      <w:rPr>
        <w:rFonts w:ascii="Arial" w:hAnsi="Arial" w:cs="Arial"/>
        <w:b/>
        <w:sz w:val="20"/>
        <w:szCs w:val="20"/>
        <w:lang w:val="fr-CA"/>
      </w:rPr>
      <w:instrText xml:space="preserve"> NUMPAGES  \* Arabic  \* MERGEFORMAT </w:instrText>
    </w:r>
    <w:r w:rsidR="005B143A" w:rsidRPr="005B143A">
      <w:rPr>
        <w:rFonts w:ascii="Arial" w:hAnsi="Arial" w:cs="Arial"/>
        <w:b/>
        <w:sz w:val="20"/>
        <w:szCs w:val="20"/>
      </w:rPr>
      <w:fldChar w:fldCharType="separate"/>
    </w:r>
    <w:r w:rsidR="00587318">
      <w:rPr>
        <w:rFonts w:ascii="Arial" w:hAnsi="Arial" w:cs="Arial"/>
        <w:b/>
        <w:noProof/>
        <w:sz w:val="20"/>
        <w:szCs w:val="20"/>
        <w:lang w:val="fr-CA"/>
      </w:rPr>
      <w:t>12</w:t>
    </w:r>
    <w:r w:rsidR="005B143A" w:rsidRPr="005B143A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3A" w:rsidRDefault="00A32B93">
    <w:pPr>
      <w:pStyle w:val="Footer"/>
    </w:pPr>
    <w:r>
      <w:rPr>
        <w:rFonts w:ascii="Arial" w:hAnsi="Arial"/>
        <w:noProof/>
        <w:sz w:val="12"/>
      </w:rPr>
      <w:drawing>
        <wp:inline distT="0" distB="0" distL="0" distR="0" wp14:anchorId="47AC4B21" wp14:editId="37CB0954">
          <wp:extent cx="3314700" cy="571500"/>
          <wp:effectExtent l="0" t="0" r="0" b="0"/>
          <wp:docPr id="8" name="Picture 1" descr="AO Logo - Biling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O Logo - Biling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B4" w:rsidRDefault="00B77EB4">
      <w:r>
        <w:separator/>
      </w:r>
    </w:p>
  </w:footnote>
  <w:footnote w:type="continuationSeparator" w:id="0">
    <w:p w:rsidR="00B77EB4" w:rsidRDefault="00B77EB4">
      <w:r>
        <w:continuationSeparator/>
      </w:r>
    </w:p>
  </w:footnote>
  <w:footnote w:id="1">
    <w:p w:rsidR="00860C43" w:rsidRPr="006F7F2D" w:rsidRDefault="00860C43" w:rsidP="00860C43">
      <w:pPr>
        <w:pStyle w:val="FootnoteText"/>
        <w:rPr>
          <w:rFonts w:ascii="Arial" w:hAnsi="Arial" w:cs="Arial"/>
        </w:rPr>
      </w:pPr>
      <w:r w:rsidRPr="006F7F2D">
        <w:rPr>
          <w:rStyle w:val="FootnoteReference"/>
          <w:rFonts w:ascii="Arial" w:hAnsi="Arial" w:cs="Arial"/>
          <w:lang w:val="fr-CA"/>
        </w:rPr>
        <w:footnoteRef/>
      </w:r>
      <w:r w:rsidRPr="006F7F2D">
        <w:rPr>
          <w:rFonts w:ascii="Arial" w:hAnsi="Arial" w:cs="Arial"/>
          <w:lang w:val="fr-CA"/>
        </w:rPr>
        <w:t xml:space="preserve"> </w:t>
      </w:r>
      <w:r w:rsidR="002D7DE4" w:rsidRPr="006F7F2D">
        <w:rPr>
          <w:rFonts w:ascii="Arial" w:hAnsi="Arial" w:cs="Arial"/>
          <w:i/>
          <w:lang w:val="fr-CA"/>
        </w:rPr>
        <w:t>Plan énergétique à long terme de l’Ontario : Pour l’édification d’un avenir énergétique propre</w:t>
      </w:r>
      <w:r w:rsidR="006F7F2D" w:rsidRPr="006F7F2D">
        <w:rPr>
          <w:rFonts w:ascii="Arial" w:hAnsi="Arial" w:cs="Arial"/>
          <w:i/>
          <w:lang w:val="fr-CA"/>
        </w:rPr>
        <w:t>.</w:t>
      </w:r>
      <w:r w:rsidR="00EF212A" w:rsidRPr="006F7F2D">
        <w:rPr>
          <w:rFonts w:ascii="Arial" w:hAnsi="Arial" w:cs="Arial"/>
          <w:lang w:val="fr-CA"/>
        </w:rPr>
        <w:t xml:space="preserve"> </w:t>
      </w:r>
      <w:r w:rsidR="00EF212A" w:rsidRPr="006F7F2D">
        <w:rPr>
          <w:rFonts w:ascii="Arial" w:hAnsi="Arial" w:cs="Arial"/>
        </w:rPr>
        <w:t>Toronto</w:t>
      </w:r>
      <w:r w:rsidR="002D7DE4" w:rsidRPr="006F7F2D">
        <w:rPr>
          <w:rFonts w:ascii="Arial" w:hAnsi="Arial" w:cs="Arial"/>
        </w:rPr>
        <w:t> </w:t>
      </w:r>
      <w:r w:rsidR="00EF212A" w:rsidRPr="006F7F2D">
        <w:rPr>
          <w:rFonts w:ascii="Arial" w:hAnsi="Arial" w:cs="Arial"/>
        </w:rPr>
        <w:t xml:space="preserve">: </w:t>
      </w:r>
      <w:r w:rsidR="002D7DE4" w:rsidRPr="006F7F2D">
        <w:rPr>
          <w:rFonts w:ascii="Arial" w:hAnsi="Arial" w:cs="Arial"/>
        </w:rPr>
        <w:t>Imprimeur de la Reine pour l’Ontario</w:t>
      </w:r>
      <w:r w:rsidR="00EF212A" w:rsidRPr="006F7F2D">
        <w:rPr>
          <w:rFonts w:ascii="Arial" w:hAnsi="Arial" w:cs="Arial"/>
        </w:rPr>
        <w:t>, 2010</w:t>
      </w:r>
      <w:r w:rsidRPr="006F7F2D">
        <w:rPr>
          <w:rFonts w:ascii="Arial" w:hAnsi="Arial" w:cs="Arial"/>
        </w:rPr>
        <w:t xml:space="preserve">, </w:t>
      </w:r>
      <w:r w:rsidR="002D7DE4" w:rsidRPr="006F7F2D">
        <w:rPr>
          <w:rFonts w:ascii="Arial" w:hAnsi="Arial" w:cs="Arial"/>
        </w:rPr>
        <w:t>p.</w:t>
      </w:r>
      <w:r w:rsidR="006F7F2D" w:rsidRPr="006F7F2D">
        <w:rPr>
          <w:rFonts w:ascii="Arial" w:hAnsi="Arial" w:cs="Arial"/>
        </w:rPr>
        <w:t> </w:t>
      </w:r>
      <w:r w:rsidRPr="006F7F2D">
        <w:rPr>
          <w:rFonts w:ascii="Arial" w:hAnsi="Arial" w:cs="Arial"/>
        </w:rPr>
        <w:t>5.</w:t>
      </w:r>
    </w:p>
  </w:footnote>
  <w:footnote w:id="2">
    <w:p w:rsidR="00860C43" w:rsidRPr="006F7F2D" w:rsidRDefault="00860C43" w:rsidP="00860C43">
      <w:pPr>
        <w:pStyle w:val="FootnoteText"/>
        <w:rPr>
          <w:rFonts w:ascii="Arial" w:hAnsi="Arial" w:cs="Arial"/>
        </w:rPr>
      </w:pPr>
      <w:r w:rsidRPr="006F7F2D">
        <w:rPr>
          <w:rStyle w:val="FootnoteReference"/>
          <w:rFonts w:ascii="Arial" w:hAnsi="Arial" w:cs="Arial"/>
          <w:lang w:val="fr-CA"/>
        </w:rPr>
        <w:footnoteRef/>
      </w:r>
      <w:r w:rsidRPr="006F7F2D">
        <w:rPr>
          <w:rFonts w:ascii="Arial" w:hAnsi="Arial" w:cs="Arial"/>
        </w:rPr>
        <w:t xml:space="preserve"> Wor</w:t>
      </w:r>
      <w:r w:rsidR="00B61FF0" w:rsidRPr="006F7F2D">
        <w:rPr>
          <w:rFonts w:ascii="Arial" w:hAnsi="Arial" w:cs="Arial"/>
        </w:rPr>
        <w:t>l</w:t>
      </w:r>
      <w:r w:rsidRPr="006F7F2D">
        <w:rPr>
          <w:rFonts w:ascii="Arial" w:hAnsi="Arial" w:cs="Arial"/>
        </w:rPr>
        <w:t xml:space="preserve">d Nuclear Association, </w:t>
      </w:r>
      <w:r w:rsidRPr="006F7F2D">
        <w:rPr>
          <w:rFonts w:ascii="Arial" w:hAnsi="Arial" w:cs="Arial"/>
          <w:i/>
        </w:rPr>
        <w:t>Nuclear Power in Canada</w:t>
      </w:r>
      <w:r w:rsidRPr="006F7F2D">
        <w:rPr>
          <w:rFonts w:ascii="Arial" w:hAnsi="Arial" w:cs="Arial"/>
        </w:rPr>
        <w:t xml:space="preserve"> (</w:t>
      </w:r>
      <w:r w:rsidRPr="008409B8">
        <w:rPr>
          <w:rFonts w:ascii="Arial" w:hAnsi="Arial" w:cs="Arial"/>
        </w:rPr>
        <w:t>www.world-nuclear.org</w:t>
      </w:r>
      <w:r w:rsidRPr="006F7F2D">
        <w:rPr>
          <w:rFonts w:ascii="Arial" w:hAnsi="Arial" w:cs="Arial"/>
        </w:rPr>
        <w:t xml:space="preserve">), </w:t>
      </w:r>
      <w:r w:rsidR="005C40A6" w:rsidRPr="006F7F2D">
        <w:rPr>
          <w:rFonts w:ascii="Arial" w:hAnsi="Arial" w:cs="Arial"/>
        </w:rPr>
        <w:t>p.</w:t>
      </w:r>
      <w:r w:rsidR="006F7F2D">
        <w:rPr>
          <w:rFonts w:ascii="Arial" w:hAnsi="Arial" w:cs="Arial"/>
        </w:rPr>
        <w:t> </w:t>
      </w:r>
      <w:r w:rsidRPr="006F7F2D">
        <w:rPr>
          <w:rFonts w:ascii="Arial" w:hAnsi="Arial" w:cs="Arial"/>
        </w:rPr>
        <w:t>3.</w:t>
      </w:r>
    </w:p>
  </w:footnote>
  <w:footnote w:id="3">
    <w:p w:rsidR="00860C43" w:rsidRPr="002D7DE4" w:rsidRDefault="00860C43" w:rsidP="00860C43">
      <w:pPr>
        <w:pStyle w:val="FootnoteText"/>
        <w:rPr>
          <w:rFonts w:ascii="Arial" w:hAnsi="Arial" w:cs="Arial"/>
          <w:highlight w:val="yellow"/>
          <w:lang w:val="fr-CA"/>
        </w:rPr>
      </w:pPr>
      <w:r w:rsidRPr="006F7F2D">
        <w:rPr>
          <w:rStyle w:val="FootnoteReference"/>
          <w:rFonts w:ascii="Arial" w:hAnsi="Arial" w:cs="Arial"/>
          <w:lang w:val="fr-CA"/>
        </w:rPr>
        <w:footnoteRef/>
      </w:r>
      <w:r w:rsidRPr="006F7F2D">
        <w:rPr>
          <w:rFonts w:ascii="Arial" w:hAnsi="Arial" w:cs="Arial"/>
          <w:lang w:val="fr-CA"/>
        </w:rPr>
        <w:t xml:space="preserve"> </w:t>
      </w:r>
      <w:r w:rsidR="002D7DE4" w:rsidRPr="006F7F2D">
        <w:rPr>
          <w:rFonts w:ascii="Arial" w:hAnsi="Arial" w:cs="Arial"/>
          <w:i/>
          <w:lang w:val="fr-CA"/>
        </w:rPr>
        <w:t>Plan énergétique à long terme de l’Ontario</w:t>
      </w:r>
      <w:r w:rsidRPr="006F7F2D">
        <w:rPr>
          <w:rFonts w:ascii="Arial" w:hAnsi="Arial" w:cs="Arial"/>
          <w:lang w:val="fr-CA"/>
        </w:rPr>
        <w:t>,</w:t>
      </w:r>
      <w:r w:rsidR="002D7DE4" w:rsidRPr="006F7F2D">
        <w:rPr>
          <w:rFonts w:ascii="Arial" w:hAnsi="Arial" w:cs="Arial"/>
          <w:lang w:val="fr-CA"/>
        </w:rPr>
        <w:t xml:space="preserve"> p.</w:t>
      </w:r>
      <w:r w:rsidR="006F7F2D">
        <w:rPr>
          <w:rFonts w:ascii="Arial" w:hAnsi="Arial" w:cs="Arial"/>
          <w:lang w:val="fr-CA"/>
        </w:rPr>
        <w:t> </w:t>
      </w:r>
      <w:r w:rsidRPr="006F7F2D">
        <w:rPr>
          <w:rFonts w:ascii="Arial" w:hAnsi="Arial" w:cs="Arial"/>
          <w:lang w:val="fr-CA"/>
        </w:rPr>
        <w:t>5.</w:t>
      </w:r>
    </w:p>
  </w:footnote>
  <w:footnote w:id="4">
    <w:p w:rsidR="00860C43" w:rsidRPr="006F7F2D" w:rsidRDefault="00860C43" w:rsidP="00860C43">
      <w:pPr>
        <w:pStyle w:val="FootnoteText"/>
      </w:pPr>
      <w:r w:rsidRPr="006F7F2D">
        <w:rPr>
          <w:rStyle w:val="FootnoteReference"/>
          <w:rFonts w:ascii="Arial" w:hAnsi="Arial" w:cs="Arial"/>
        </w:rPr>
        <w:footnoteRef/>
      </w:r>
      <w:r w:rsidRPr="006F7F2D">
        <w:rPr>
          <w:rFonts w:ascii="Arial" w:hAnsi="Arial" w:cs="Arial"/>
        </w:rPr>
        <w:t xml:space="preserve"> Andrew Battis</w:t>
      </w:r>
      <w:r w:rsidR="00B61FF0" w:rsidRPr="006F7F2D">
        <w:rPr>
          <w:rFonts w:ascii="Arial" w:hAnsi="Arial" w:cs="Arial"/>
        </w:rPr>
        <w:t>t</w:t>
      </w:r>
      <w:r w:rsidRPr="006F7F2D">
        <w:rPr>
          <w:rFonts w:ascii="Arial" w:hAnsi="Arial" w:cs="Arial"/>
        </w:rPr>
        <w:t xml:space="preserve">on, </w:t>
      </w:r>
      <w:r w:rsidRPr="006F7F2D">
        <w:rPr>
          <w:rFonts w:ascii="Arial" w:hAnsi="Arial" w:cs="Arial"/>
          <w:i/>
        </w:rPr>
        <w:t>Eliminating Coal Electricity Production in Ontario</w:t>
      </w:r>
      <w:r w:rsidRPr="006F7F2D">
        <w:rPr>
          <w:rFonts w:ascii="Arial" w:hAnsi="Arial" w:cs="Arial"/>
        </w:rPr>
        <w:t xml:space="preserve">, </w:t>
      </w:r>
      <w:r w:rsidR="00DA32A3" w:rsidRPr="006F7F2D">
        <w:rPr>
          <w:rFonts w:ascii="Arial" w:hAnsi="Arial" w:cs="Arial"/>
        </w:rPr>
        <w:t xml:space="preserve">p. </w:t>
      </w:r>
      <w:r w:rsidRPr="006F7F2D">
        <w:rPr>
          <w:rFonts w:ascii="Arial" w:hAnsi="Arial" w:cs="Arial"/>
        </w:rPr>
        <w:t>12.</w:t>
      </w:r>
    </w:p>
  </w:footnote>
  <w:footnote w:id="5">
    <w:p w:rsidR="00860C43" w:rsidRPr="006F7F2D" w:rsidRDefault="00860C43" w:rsidP="00860C43">
      <w:pPr>
        <w:pStyle w:val="FootnoteText"/>
        <w:rPr>
          <w:rFonts w:ascii="Arial" w:hAnsi="Arial" w:cs="Arial"/>
          <w:lang w:val="fr-CA"/>
        </w:rPr>
      </w:pPr>
      <w:r w:rsidRPr="006F7F2D">
        <w:rPr>
          <w:rStyle w:val="FootnoteReference"/>
          <w:rFonts w:ascii="Arial" w:hAnsi="Arial" w:cs="Arial"/>
        </w:rPr>
        <w:footnoteRef/>
      </w:r>
      <w:r w:rsidR="00EF212A" w:rsidRPr="006F7F2D">
        <w:rPr>
          <w:rFonts w:ascii="Arial" w:hAnsi="Arial" w:cs="Arial"/>
          <w:lang w:val="fr-CA"/>
        </w:rPr>
        <w:t xml:space="preserve"> </w:t>
      </w:r>
      <w:r w:rsidR="00DA32A3" w:rsidRPr="006F7F2D">
        <w:rPr>
          <w:rFonts w:ascii="Arial" w:hAnsi="Arial" w:cs="Arial"/>
          <w:lang w:val="fr-CA"/>
        </w:rPr>
        <w:t>Idem</w:t>
      </w:r>
      <w:r w:rsidR="00EF212A" w:rsidRPr="006F7F2D">
        <w:rPr>
          <w:rFonts w:ascii="Arial" w:hAnsi="Arial" w:cs="Arial"/>
          <w:lang w:val="fr-CA"/>
        </w:rPr>
        <w:t>,</w:t>
      </w:r>
      <w:r w:rsidRPr="006F7F2D">
        <w:rPr>
          <w:rFonts w:ascii="Arial" w:hAnsi="Arial" w:cs="Arial"/>
          <w:lang w:val="fr-CA"/>
        </w:rPr>
        <w:t xml:space="preserve"> </w:t>
      </w:r>
      <w:r w:rsidR="00DA32A3" w:rsidRPr="006F7F2D">
        <w:rPr>
          <w:rFonts w:ascii="Arial" w:hAnsi="Arial" w:cs="Arial"/>
          <w:lang w:val="fr-CA"/>
        </w:rPr>
        <w:t>p.</w:t>
      </w:r>
      <w:r w:rsidR="006F7F2D">
        <w:rPr>
          <w:rFonts w:ascii="Arial" w:hAnsi="Arial" w:cs="Arial"/>
          <w:lang w:val="fr-CA"/>
        </w:rPr>
        <w:t> </w:t>
      </w:r>
      <w:r w:rsidRPr="006F7F2D">
        <w:rPr>
          <w:rFonts w:ascii="Arial" w:hAnsi="Arial" w:cs="Arial"/>
          <w:lang w:val="fr-CA"/>
        </w:rPr>
        <w:t>14-15.</w:t>
      </w:r>
    </w:p>
  </w:footnote>
  <w:footnote w:id="6">
    <w:p w:rsidR="00860C43" w:rsidRPr="006F7F2D" w:rsidRDefault="00860C43" w:rsidP="00860C43">
      <w:pPr>
        <w:pStyle w:val="FootnoteText"/>
        <w:rPr>
          <w:rFonts w:ascii="Arial" w:hAnsi="Arial" w:cs="Arial"/>
          <w:lang w:val="fr-CA"/>
        </w:rPr>
      </w:pPr>
      <w:r w:rsidRPr="006F7F2D">
        <w:rPr>
          <w:rStyle w:val="FootnoteReference"/>
          <w:rFonts w:ascii="Arial" w:hAnsi="Arial" w:cs="Arial"/>
        </w:rPr>
        <w:footnoteRef/>
      </w:r>
      <w:r w:rsidRPr="006F7F2D">
        <w:rPr>
          <w:rFonts w:ascii="Arial" w:hAnsi="Arial" w:cs="Arial"/>
          <w:lang w:val="fr-CA"/>
        </w:rPr>
        <w:t xml:space="preserve"> </w:t>
      </w:r>
      <w:r w:rsidR="00DA32A3" w:rsidRPr="006F7F2D">
        <w:rPr>
          <w:rFonts w:ascii="Arial" w:hAnsi="Arial" w:cs="Arial"/>
          <w:i/>
          <w:lang w:val="fr-CA"/>
        </w:rPr>
        <w:t>Plan énergétique à long terme de l’Ontario</w:t>
      </w:r>
      <w:r w:rsidRPr="006F7F2D">
        <w:rPr>
          <w:rFonts w:ascii="Arial" w:hAnsi="Arial" w:cs="Arial"/>
          <w:lang w:val="fr-CA"/>
        </w:rPr>
        <w:t>,</w:t>
      </w:r>
      <w:r w:rsidR="00DA32A3" w:rsidRPr="006F7F2D">
        <w:rPr>
          <w:rFonts w:ascii="Arial" w:hAnsi="Arial" w:cs="Arial"/>
          <w:lang w:val="fr-CA"/>
        </w:rPr>
        <w:t xml:space="preserve"> p.</w:t>
      </w:r>
      <w:r w:rsidR="006F7F2D">
        <w:rPr>
          <w:rFonts w:ascii="Arial" w:hAnsi="Arial" w:cs="Arial"/>
          <w:lang w:val="fr-CA"/>
        </w:rPr>
        <w:t> </w:t>
      </w:r>
      <w:r w:rsidRPr="006F7F2D">
        <w:rPr>
          <w:rFonts w:ascii="Arial" w:hAnsi="Arial" w:cs="Arial"/>
          <w:lang w:val="fr-CA"/>
        </w:rPr>
        <w:t>5.</w:t>
      </w:r>
    </w:p>
  </w:footnote>
  <w:footnote w:id="7">
    <w:p w:rsidR="00860C43" w:rsidRPr="001161A1" w:rsidRDefault="00860C43" w:rsidP="00860C43">
      <w:pPr>
        <w:pStyle w:val="FootnoteText"/>
        <w:rPr>
          <w:rFonts w:ascii="Arial" w:hAnsi="Arial" w:cs="Arial"/>
          <w:i/>
          <w:highlight w:val="green"/>
          <w:lang w:val="fr-CA"/>
        </w:rPr>
      </w:pPr>
      <w:r w:rsidRPr="006F7F2D">
        <w:rPr>
          <w:rStyle w:val="FootnoteReference"/>
          <w:rFonts w:ascii="Arial" w:hAnsi="Arial" w:cs="Arial"/>
        </w:rPr>
        <w:footnoteRef/>
      </w:r>
      <w:r w:rsidRPr="006F7F2D">
        <w:rPr>
          <w:rFonts w:ascii="Arial" w:hAnsi="Arial" w:cs="Arial"/>
          <w:lang w:val="fr-CA"/>
        </w:rPr>
        <w:t xml:space="preserve"> </w:t>
      </w:r>
      <w:r w:rsidR="00DA32A3" w:rsidRPr="006F7F2D">
        <w:rPr>
          <w:rFonts w:ascii="Arial" w:hAnsi="Arial" w:cs="Arial"/>
          <w:lang w:val="fr-CA"/>
        </w:rPr>
        <w:t>Idem,</w:t>
      </w:r>
      <w:r w:rsidR="00EF212A" w:rsidRPr="006F7F2D">
        <w:rPr>
          <w:rFonts w:ascii="Arial" w:hAnsi="Arial" w:cs="Arial"/>
          <w:lang w:val="fr-CA"/>
        </w:rPr>
        <w:t xml:space="preserve"> </w:t>
      </w:r>
      <w:r w:rsidR="00DA32A3" w:rsidRPr="006F7F2D">
        <w:rPr>
          <w:rFonts w:ascii="Arial" w:hAnsi="Arial" w:cs="Arial"/>
          <w:lang w:val="fr-CA"/>
        </w:rPr>
        <w:t>p.</w:t>
      </w:r>
      <w:r w:rsidR="006F7F2D">
        <w:rPr>
          <w:rFonts w:ascii="Arial" w:hAnsi="Arial" w:cs="Arial"/>
          <w:lang w:val="fr-CA"/>
        </w:rPr>
        <w:t> </w:t>
      </w:r>
      <w:r w:rsidR="00EF212A" w:rsidRPr="006F7F2D">
        <w:rPr>
          <w:rFonts w:ascii="Arial" w:hAnsi="Arial" w:cs="Arial"/>
          <w:lang w:val="fr-CA"/>
        </w:rPr>
        <w:t>7</w:t>
      </w:r>
      <w:r w:rsidRPr="006F7F2D">
        <w:rPr>
          <w:rFonts w:ascii="Arial" w:hAnsi="Arial" w:cs="Arial"/>
          <w:i/>
          <w:lang w:val="fr-CA"/>
        </w:rPr>
        <w:t>.</w:t>
      </w:r>
    </w:p>
  </w:footnote>
  <w:footnote w:id="8">
    <w:p w:rsidR="00860C43" w:rsidRPr="006F7F2D" w:rsidRDefault="00860C43" w:rsidP="00860C43">
      <w:pPr>
        <w:pStyle w:val="FootnoteText"/>
        <w:rPr>
          <w:lang w:val="fr-CA"/>
        </w:rPr>
      </w:pPr>
      <w:r w:rsidRPr="006F7F2D">
        <w:rPr>
          <w:rStyle w:val="FootnoteReference"/>
          <w:rFonts w:ascii="Arial" w:hAnsi="Arial" w:cs="Arial"/>
        </w:rPr>
        <w:footnoteRef/>
      </w:r>
      <w:r w:rsidRPr="006F7F2D">
        <w:rPr>
          <w:rFonts w:ascii="Arial" w:hAnsi="Arial" w:cs="Arial"/>
          <w:lang w:val="fr-CA"/>
        </w:rPr>
        <w:t xml:space="preserve"> </w:t>
      </w:r>
      <w:r w:rsidR="005C40A6" w:rsidRPr="006F7F2D">
        <w:rPr>
          <w:rFonts w:ascii="Arial" w:hAnsi="Arial" w:cs="Arial"/>
          <w:i/>
          <w:lang w:val="fr-CA"/>
        </w:rPr>
        <w:t>Vers un bilan équilibré – Le Plan énergétique à long terme de l’Ontario</w:t>
      </w:r>
      <w:r w:rsidR="006F7F2D" w:rsidRPr="006F7F2D">
        <w:rPr>
          <w:rFonts w:ascii="Arial" w:hAnsi="Arial" w:cs="Arial"/>
          <w:i/>
          <w:lang w:val="fr-CA"/>
        </w:rPr>
        <w:t>.</w:t>
      </w:r>
      <w:r w:rsidR="005C40A6" w:rsidRPr="006F7F2D">
        <w:rPr>
          <w:rFonts w:ascii="Arial" w:hAnsi="Arial" w:cs="Arial"/>
          <w:i/>
          <w:lang w:val="fr-CA"/>
        </w:rPr>
        <w:t xml:space="preserve"> </w:t>
      </w:r>
      <w:r w:rsidR="00EF212A" w:rsidRPr="006F7F2D">
        <w:rPr>
          <w:rFonts w:ascii="Arial" w:hAnsi="Arial" w:cs="Arial"/>
          <w:lang w:val="fr-CA"/>
        </w:rPr>
        <w:t>Toronto</w:t>
      </w:r>
      <w:r w:rsidR="005C40A6" w:rsidRPr="006F7F2D">
        <w:rPr>
          <w:rFonts w:ascii="Arial" w:hAnsi="Arial" w:cs="Arial"/>
          <w:lang w:val="fr-CA"/>
        </w:rPr>
        <w:t> </w:t>
      </w:r>
      <w:r w:rsidR="00EF212A" w:rsidRPr="006F7F2D">
        <w:rPr>
          <w:rFonts w:ascii="Arial" w:hAnsi="Arial" w:cs="Arial"/>
          <w:lang w:val="fr-CA"/>
        </w:rPr>
        <w:t xml:space="preserve">: </w:t>
      </w:r>
      <w:r w:rsidR="005C40A6" w:rsidRPr="006F7F2D">
        <w:rPr>
          <w:rFonts w:ascii="Arial" w:hAnsi="Arial" w:cs="Arial"/>
          <w:lang w:val="fr-CA"/>
        </w:rPr>
        <w:t>Imprimeur de la Reine pour l’Ontario</w:t>
      </w:r>
      <w:r w:rsidR="00EF212A" w:rsidRPr="006F7F2D">
        <w:rPr>
          <w:rFonts w:ascii="Arial" w:hAnsi="Arial" w:cs="Arial"/>
          <w:lang w:val="fr-CA"/>
        </w:rPr>
        <w:t xml:space="preserve">, 2013, </w:t>
      </w:r>
      <w:r w:rsidR="005C40A6" w:rsidRPr="006F7F2D">
        <w:rPr>
          <w:rFonts w:ascii="Arial" w:hAnsi="Arial" w:cs="Arial"/>
          <w:lang w:val="fr-CA"/>
        </w:rPr>
        <w:t>p.</w:t>
      </w:r>
      <w:r w:rsidR="006F7F2D">
        <w:rPr>
          <w:rFonts w:ascii="Arial" w:hAnsi="Arial" w:cs="Arial"/>
          <w:lang w:val="fr-CA"/>
        </w:rPr>
        <w:t> </w:t>
      </w:r>
      <w:r w:rsidR="005C40A6" w:rsidRPr="006F7F2D">
        <w:rPr>
          <w:rFonts w:ascii="Arial" w:hAnsi="Arial" w:cs="Arial"/>
          <w:lang w:val="fr-CA"/>
        </w:rPr>
        <w:t>9</w:t>
      </w:r>
      <w:r w:rsidR="00EF212A" w:rsidRPr="006F7F2D">
        <w:rPr>
          <w:rFonts w:ascii="Arial" w:hAnsi="Arial" w:cs="Arial"/>
          <w:lang w:val="fr-CA"/>
        </w:rPr>
        <w:t>.</w:t>
      </w:r>
    </w:p>
  </w:footnote>
  <w:footnote w:id="9">
    <w:p w:rsidR="00860C43" w:rsidRPr="005C40A6" w:rsidRDefault="00860C43" w:rsidP="00860C43">
      <w:pPr>
        <w:pStyle w:val="FootnoteText"/>
        <w:rPr>
          <w:rFonts w:ascii="Arial" w:hAnsi="Arial" w:cs="Arial"/>
          <w:lang w:val="fr-CA"/>
        </w:rPr>
      </w:pPr>
      <w:r w:rsidRPr="006F7F2D">
        <w:rPr>
          <w:rStyle w:val="FootnoteReference"/>
          <w:rFonts w:ascii="Arial" w:hAnsi="Arial" w:cs="Arial"/>
        </w:rPr>
        <w:footnoteRef/>
      </w:r>
      <w:r w:rsidRPr="006F7F2D">
        <w:rPr>
          <w:rFonts w:ascii="Arial" w:hAnsi="Arial" w:cs="Arial"/>
          <w:lang w:val="fr-CA"/>
        </w:rPr>
        <w:t xml:space="preserve"> </w:t>
      </w:r>
      <w:r w:rsidR="005C40A6" w:rsidRPr="006F7F2D">
        <w:rPr>
          <w:rFonts w:ascii="Arial" w:hAnsi="Arial" w:cs="Arial"/>
          <w:lang w:val="fr-CA"/>
        </w:rPr>
        <w:t>Plan énergétique à long terme de l’Ontario : Pour l’édification d’un avenir énergétique propre</w:t>
      </w:r>
      <w:r w:rsidR="00EF212A" w:rsidRPr="006F7F2D">
        <w:rPr>
          <w:rFonts w:ascii="Arial" w:hAnsi="Arial" w:cs="Arial"/>
          <w:i/>
          <w:lang w:val="fr-CA"/>
        </w:rPr>
        <w:t>,</w:t>
      </w:r>
      <w:r w:rsidR="005C40A6" w:rsidRPr="006F7F2D">
        <w:rPr>
          <w:rFonts w:ascii="Arial" w:hAnsi="Arial" w:cs="Arial"/>
          <w:i/>
          <w:lang w:val="fr-CA"/>
        </w:rPr>
        <w:t xml:space="preserve"> p.</w:t>
      </w:r>
      <w:r w:rsidR="006F7F2D" w:rsidRPr="006F7F2D">
        <w:rPr>
          <w:rFonts w:ascii="Arial" w:hAnsi="Arial" w:cs="Arial"/>
          <w:i/>
          <w:lang w:val="fr-CA"/>
        </w:rPr>
        <w:t> </w:t>
      </w:r>
      <w:r w:rsidRPr="006F7F2D">
        <w:rPr>
          <w:rFonts w:ascii="Arial" w:hAnsi="Arial" w:cs="Arial"/>
          <w:lang w:val="fr-CA"/>
        </w:rPr>
        <w:t>28-29.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2D" w:rsidRDefault="006F7F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2D" w:rsidRDefault="006F7F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0A" w:rsidRDefault="009A1B0A">
    <w:pPr>
      <w:pStyle w:val="Header"/>
    </w:pPr>
    <w:r>
      <w:rPr>
        <w:noProof/>
      </w:rPr>
      <w:drawing>
        <wp:inline distT="0" distB="0" distL="0" distR="0">
          <wp:extent cx="2133600" cy="990600"/>
          <wp:effectExtent l="0" t="0" r="0" b="0"/>
          <wp:docPr id="7" name="Picture 3" descr="NEW_Ont_logo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_Ont_logo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133"/>
    <w:multiLevelType w:val="hybridMultilevel"/>
    <w:tmpl w:val="927ABE3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C4D73"/>
    <w:multiLevelType w:val="hybridMultilevel"/>
    <w:tmpl w:val="6760244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4576A"/>
    <w:multiLevelType w:val="hybridMultilevel"/>
    <w:tmpl w:val="374A94A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340EE"/>
    <w:multiLevelType w:val="hybridMultilevel"/>
    <w:tmpl w:val="CF9C1DEA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746A1"/>
    <w:multiLevelType w:val="hybridMultilevel"/>
    <w:tmpl w:val="6760244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785D29"/>
    <w:multiLevelType w:val="hybridMultilevel"/>
    <w:tmpl w:val="8D86B6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41223"/>
    <w:multiLevelType w:val="hybridMultilevel"/>
    <w:tmpl w:val="D402F7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556F6"/>
    <w:multiLevelType w:val="hybridMultilevel"/>
    <w:tmpl w:val="0FA0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51998"/>
    <w:multiLevelType w:val="hybridMultilevel"/>
    <w:tmpl w:val="3CACE64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117750"/>
    <w:multiLevelType w:val="hybridMultilevel"/>
    <w:tmpl w:val="EC505E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E5396"/>
    <w:multiLevelType w:val="hybridMultilevel"/>
    <w:tmpl w:val="24BCA7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77"/>
    <w:rsid w:val="00014EA1"/>
    <w:rsid w:val="00023D0D"/>
    <w:rsid w:val="00024AE7"/>
    <w:rsid w:val="0003160F"/>
    <w:rsid w:val="0003566A"/>
    <w:rsid w:val="0003689C"/>
    <w:rsid w:val="00046607"/>
    <w:rsid w:val="00052D44"/>
    <w:rsid w:val="00052D76"/>
    <w:rsid w:val="00055DC0"/>
    <w:rsid w:val="000653E3"/>
    <w:rsid w:val="000659F6"/>
    <w:rsid w:val="00065D18"/>
    <w:rsid w:val="000670BC"/>
    <w:rsid w:val="000705AC"/>
    <w:rsid w:val="00073F8C"/>
    <w:rsid w:val="00075DEF"/>
    <w:rsid w:val="00080568"/>
    <w:rsid w:val="00082F64"/>
    <w:rsid w:val="00090B44"/>
    <w:rsid w:val="00091B13"/>
    <w:rsid w:val="00097F49"/>
    <w:rsid w:val="000C1451"/>
    <w:rsid w:val="000C3498"/>
    <w:rsid w:val="000C46B3"/>
    <w:rsid w:val="000D7463"/>
    <w:rsid w:val="000D7C67"/>
    <w:rsid w:val="000E1AA8"/>
    <w:rsid w:val="000E7233"/>
    <w:rsid w:val="000F0AEE"/>
    <w:rsid w:val="000F24A3"/>
    <w:rsid w:val="000F5F97"/>
    <w:rsid w:val="000F643B"/>
    <w:rsid w:val="000F7960"/>
    <w:rsid w:val="00102B84"/>
    <w:rsid w:val="001120B3"/>
    <w:rsid w:val="00112117"/>
    <w:rsid w:val="00115CD4"/>
    <w:rsid w:val="001161A1"/>
    <w:rsid w:val="001171BA"/>
    <w:rsid w:val="00120CBB"/>
    <w:rsid w:val="0012176C"/>
    <w:rsid w:val="00121E3C"/>
    <w:rsid w:val="00123706"/>
    <w:rsid w:val="00124A71"/>
    <w:rsid w:val="00126058"/>
    <w:rsid w:val="00131C3B"/>
    <w:rsid w:val="001371D3"/>
    <w:rsid w:val="0014157A"/>
    <w:rsid w:val="00146B0D"/>
    <w:rsid w:val="00156008"/>
    <w:rsid w:val="00167DD0"/>
    <w:rsid w:val="00174224"/>
    <w:rsid w:val="00191199"/>
    <w:rsid w:val="00191B19"/>
    <w:rsid w:val="00192AB5"/>
    <w:rsid w:val="001973A7"/>
    <w:rsid w:val="001A1012"/>
    <w:rsid w:val="001A2090"/>
    <w:rsid w:val="001A244F"/>
    <w:rsid w:val="001A7077"/>
    <w:rsid w:val="001B6509"/>
    <w:rsid w:val="001C4102"/>
    <w:rsid w:val="001C4B0D"/>
    <w:rsid w:val="001C4E13"/>
    <w:rsid w:val="001C596D"/>
    <w:rsid w:val="001C7179"/>
    <w:rsid w:val="001D414D"/>
    <w:rsid w:val="001D65C0"/>
    <w:rsid w:val="001E2689"/>
    <w:rsid w:val="001F00A6"/>
    <w:rsid w:val="002014B8"/>
    <w:rsid w:val="00201680"/>
    <w:rsid w:val="00204184"/>
    <w:rsid w:val="00206855"/>
    <w:rsid w:val="00210276"/>
    <w:rsid w:val="00214801"/>
    <w:rsid w:val="00221579"/>
    <w:rsid w:val="00222A8C"/>
    <w:rsid w:val="00226DE1"/>
    <w:rsid w:val="00227D6B"/>
    <w:rsid w:val="0023400C"/>
    <w:rsid w:val="00240BEF"/>
    <w:rsid w:val="002509AA"/>
    <w:rsid w:val="0025223C"/>
    <w:rsid w:val="00252EDA"/>
    <w:rsid w:val="0026257B"/>
    <w:rsid w:val="00263A3D"/>
    <w:rsid w:val="002804BB"/>
    <w:rsid w:val="00281CC1"/>
    <w:rsid w:val="0028666D"/>
    <w:rsid w:val="00286FBA"/>
    <w:rsid w:val="002A575A"/>
    <w:rsid w:val="002A69F5"/>
    <w:rsid w:val="002B0576"/>
    <w:rsid w:val="002C42D4"/>
    <w:rsid w:val="002D0B35"/>
    <w:rsid w:val="002D125E"/>
    <w:rsid w:val="002D4E8F"/>
    <w:rsid w:val="002D7337"/>
    <w:rsid w:val="002D7DE4"/>
    <w:rsid w:val="002E6D2D"/>
    <w:rsid w:val="002F08F7"/>
    <w:rsid w:val="002F21AA"/>
    <w:rsid w:val="002F2438"/>
    <w:rsid w:val="003164CC"/>
    <w:rsid w:val="0032079D"/>
    <w:rsid w:val="00320A7C"/>
    <w:rsid w:val="003214A8"/>
    <w:rsid w:val="0032322A"/>
    <w:rsid w:val="00323590"/>
    <w:rsid w:val="0032658A"/>
    <w:rsid w:val="00331C67"/>
    <w:rsid w:val="00334E4A"/>
    <w:rsid w:val="00335E55"/>
    <w:rsid w:val="00336750"/>
    <w:rsid w:val="00343F91"/>
    <w:rsid w:val="00357D1A"/>
    <w:rsid w:val="00361418"/>
    <w:rsid w:val="003614EE"/>
    <w:rsid w:val="00362CA7"/>
    <w:rsid w:val="0036587A"/>
    <w:rsid w:val="00375025"/>
    <w:rsid w:val="00382255"/>
    <w:rsid w:val="00390859"/>
    <w:rsid w:val="003971E1"/>
    <w:rsid w:val="003B645E"/>
    <w:rsid w:val="003C1466"/>
    <w:rsid w:val="003C525C"/>
    <w:rsid w:val="003C78C0"/>
    <w:rsid w:val="003D32F3"/>
    <w:rsid w:val="003D4371"/>
    <w:rsid w:val="003D488C"/>
    <w:rsid w:val="003D6990"/>
    <w:rsid w:val="003E2403"/>
    <w:rsid w:val="003E3E8A"/>
    <w:rsid w:val="003E74A8"/>
    <w:rsid w:val="003E7AFA"/>
    <w:rsid w:val="003F2AE7"/>
    <w:rsid w:val="003F56FC"/>
    <w:rsid w:val="004012A9"/>
    <w:rsid w:val="0040183C"/>
    <w:rsid w:val="0040449F"/>
    <w:rsid w:val="0040492A"/>
    <w:rsid w:val="00404F4A"/>
    <w:rsid w:val="004052CE"/>
    <w:rsid w:val="00406CED"/>
    <w:rsid w:val="00411FB3"/>
    <w:rsid w:val="0041304C"/>
    <w:rsid w:val="00416878"/>
    <w:rsid w:val="00417302"/>
    <w:rsid w:val="0042029D"/>
    <w:rsid w:val="00420338"/>
    <w:rsid w:val="004218E0"/>
    <w:rsid w:val="00422488"/>
    <w:rsid w:val="00426884"/>
    <w:rsid w:val="004271C9"/>
    <w:rsid w:val="00430803"/>
    <w:rsid w:val="004341F2"/>
    <w:rsid w:val="0043431D"/>
    <w:rsid w:val="00445253"/>
    <w:rsid w:val="00445CAF"/>
    <w:rsid w:val="00456BF8"/>
    <w:rsid w:val="004609C3"/>
    <w:rsid w:val="00460D63"/>
    <w:rsid w:val="0046327C"/>
    <w:rsid w:val="004656F5"/>
    <w:rsid w:val="00465E65"/>
    <w:rsid w:val="004762FC"/>
    <w:rsid w:val="0047646E"/>
    <w:rsid w:val="004769A8"/>
    <w:rsid w:val="0047736C"/>
    <w:rsid w:val="00483AA9"/>
    <w:rsid w:val="00484787"/>
    <w:rsid w:val="004916ED"/>
    <w:rsid w:val="004A1DC5"/>
    <w:rsid w:val="004A41B8"/>
    <w:rsid w:val="004B2ADA"/>
    <w:rsid w:val="004B52F2"/>
    <w:rsid w:val="004B5EDC"/>
    <w:rsid w:val="004C053F"/>
    <w:rsid w:val="004C4171"/>
    <w:rsid w:val="004C4CDA"/>
    <w:rsid w:val="004C5246"/>
    <w:rsid w:val="004C5C4B"/>
    <w:rsid w:val="004C742A"/>
    <w:rsid w:val="004D0813"/>
    <w:rsid w:val="004D112A"/>
    <w:rsid w:val="004D55CA"/>
    <w:rsid w:val="004D765A"/>
    <w:rsid w:val="004E0275"/>
    <w:rsid w:val="004F104D"/>
    <w:rsid w:val="004F254D"/>
    <w:rsid w:val="004F4459"/>
    <w:rsid w:val="004F45E3"/>
    <w:rsid w:val="004F53E8"/>
    <w:rsid w:val="005012A5"/>
    <w:rsid w:val="00503528"/>
    <w:rsid w:val="005036A2"/>
    <w:rsid w:val="00503C64"/>
    <w:rsid w:val="00511748"/>
    <w:rsid w:val="00520D79"/>
    <w:rsid w:val="0052315E"/>
    <w:rsid w:val="0052477A"/>
    <w:rsid w:val="005252E3"/>
    <w:rsid w:val="00530187"/>
    <w:rsid w:val="00533E96"/>
    <w:rsid w:val="00544AFD"/>
    <w:rsid w:val="00550B6E"/>
    <w:rsid w:val="0055700F"/>
    <w:rsid w:val="00557783"/>
    <w:rsid w:val="00557F70"/>
    <w:rsid w:val="005614C3"/>
    <w:rsid w:val="00561C35"/>
    <w:rsid w:val="00565D57"/>
    <w:rsid w:val="005672E6"/>
    <w:rsid w:val="00567B83"/>
    <w:rsid w:val="005711C4"/>
    <w:rsid w:val="005717B3"/>
    <w:rsid w:val="00572255"/>
    <w:rsid w:val="005810F3"/>
    <w:rsid w:val="0058584D"/>
    <w:rsid w:val="00587028"/>
    <w:rsid w:val="00587318"/>
    <w:rsid w:val="00587386"/>
    <w:rsid w:val="00592E40"/>
    <w:rsid w:val="00596F55"/>
    <w:rsid w:val="005A1ABB"/>
    <w:rsid w:val="005A2812"/>
    <w:rsid w:val="005A30C5"/>
    <w:rsid w:val="005A551A"/>
    <w:rsid w:val="005A6352"/>
    <w:rsid w:val="005B143A"/>
    <w:rsid w:val="005B377D"/>
    <w:rsid w:val="005B7B69"/>
    <w:rsid w:val="005C3F5C"/>
    <w:rsid w:val="005C40A6"/>
    <w:rsid w:val="005C4F9B"/>
    <w:rsid w:val="005D6927"/>
    <w:rsid w:val="005E35F6"/>
    <w:rsid w:val="005F1335"/>
    <w:rsid w:val="005F678C"/>
    <w:rsid w:val="00613F37"/>
    <w:rsid w:val="00614034"/>
    <w:rsid w:val="00615824"/>
    <w:rsid w:val="00617871"/>
    <w:rsid w:val="00630D87"/>
    <w:rsid w:val="00634E36"/>
    <w:rsid w:val="006373DD"/>
    <w:rsid w:val="00637AD8"/>
    <w:rsid w:val="00646F49"/>
    <w:rsid w:val="00647DAF"/>
    <w:rsid w:val="00657B41"/>
    <w:rsid w:val="00660DAB"/>
    <w:rsid w:val="00663323"/>
    <w:rsid w:val="00666195"/>
    <w:rsid w:val="006670E1"/>
    <w:rsid w:val="00672799"/>
    <w:rsid w:val="006749A4"/>
    <w:rsid w:val="00675E32"/>
    <w:rsid w:val="00676991"/>
    <w:rsid w:val="00681277"/>
    <w:rsid w:val="006816C0"/>
    <w:rsid w:val="006824DC"/>
    <w:rsid w:val="006843BF"/>
    <w:rsid w:val="006920FF"/>
    <w:rsid w:val="00695240"/>
    <w:rsid w:val="00696471"/>
    <w:rsid w:val="006976EE"/>
    <w:rsid w:val="006A0742"/>
    <w:rsid w:val="006A0C7D"/>
    <w:rsid w:val="006B6791"/>
    <w:rsid w:val="006B7B7B"/>
    <w:rsid w:val="006C152B"/>
    <w:rsid w:val="006C651B"/>
    <w:rsid w:val="006C75B2"/>
    <w:rsid w:val="006D0738"/>
    <w:rsid w:val="006D2CD5"/>
    <w:rsid w:val="006E1380"/>
    <w:rsid w:val="006E207C"/>
    <w:rsid w:val="006F2696"/>
    <w:rsid w:val="006F5859"/>
    <w:rsid w:val="006F7F2D"/>
    <w:rsid w:val="00700DB2"/>
    <w:rsid w:val="0070558D"/>
    <w:rsid w:val="0070595D"/>
    <w:rsid w:val="00705EAC"/>
    <w:rsid w:val="007119AB"/>
    <w:rsid w:val="0071351E"/>
    <w:rsid w:val="00716A44"/>
    <w:rsid w:val="007214C9"/>
    <w:rsid w:val="00734113"/>
    <w:rsid w:val="00734D91"/>
    <w:rsid w:val="00735DD8"/>
    <w:rsid w:val="00736F61"/>
    <w:rsid w:val="007423E6"/>
    <w:rsid w:val="00742E53"/>
    <w:rsid w:val="00742E54"/>
    <w:rsid w:val="00751884"/>
    <w:rsid w:val="007569AE"/>
    <w:rsid w:val="00757D7F"/>
    <w:rsid w:val="00764640"/>
    <w:rsid w:val="00765887"/>
    <w:rsid w:val="00770C24"/>
    <w:rsid w:val="00773B25"/>
    <w:rsid w:val="00773FE0"/>
    <w:rsid w:val="00777E07"/>
    <w:rsid w:val="007A470B"/>
    <w:rsid w:val="007A5991"/>
    <w:rsid w:val="007B07B8"/>
    <w:rsid w:val="007B1035"/>
    <w:rsid w:val="007B5E93"/>
    <w:rsid w:val="007C0AF1"/>
    <w:rsid w:val="007C549A"/>
    <w:rsid w:val="007C5649"/>
    <w:rsid w:val="007C569D"/>
    <w:rsid w:val="007C7177"/>
    <w:rsid w:val="007D0C17"/>
    <w:rsid w:val="007D6D6F"/>
    <w:rsid w:val="007D74B8"/>
    <w:rsid w:val="007F134E"/>
    <w:rsid w:val="007F2163"/>
    <w:rsid w:val="007F608A"/>
    <w:rsid w:val="00806AE3"/>
    <w:rsid w:val="00810FFC"/>
    <w:rsid w:val="008178AA"/>
    <w:rsid w:val="00825FEC"/>
    <w:rsid w:val="0083110F"/>
    <w:rsid w:val="008343B2"/>
    <w:rsid w:val="0083491B"/>
    <w:rsid w:val="008409B8"/>
    <w:rsid w:val="008417FF"/>
    <w:rsid w:val="00843716"/>
    <w:rsid w:val="0084448F"/>
    <w:rsid w:val="008453C7"/>
    <w:rsid w:val="00845A03"/>
    <w:rsid w:val="00846D45"/>
    <w:rsid w:val="008536F5"/>
    <w:rsid w:val="0085574C"/>
    <w:rsid w:val="00860C43"/>
    <w:rsid w:val="0086126C"/>
    <w:rsid w:val="0086168B"/>
    <w:rsid w:val="00870314"/>
    <w:rsid w:val="00870C96"/>
    <w:rsid w:val="00871FE4"/>
    <w:rsid w:val="00883E88"/>
    <w:rsid w:val="008871C9"/>
    <w:rsid w:val="00890A6D"/>
    <w:rsid w:val="00891B8E"/>
    <w:rsid w:val="008956C7"/>
    <w:rsid w:val="0089747A"/>
    <w:rsid w:val="008A39AB"/>
    <w:rsid w:val="008A45B2"/>
    <w:rsid w:val="008B27AD"/>
    <w:rsid w:val="008B2F4B"/>
    <w:rsid w:val="008B4735"/>
    <w:rsid w:val="008D2F75"/>
    <w:rsid w:val="008D3DD9"/>
    <w:rsid w:val="008E5D83"/>
    <w:rsid w:val="008E6D2A"/>
    <w:rsid w:val="008E6F46"/>
    <w:rsid w:val="008E73DB"/>
    <w:rsid w:val="008E7E5A"/>
    <w:rsid w:val="008F3074"/>
    <w:rsid w:val="008F3713"/>
    <w:rsid w:val="008F566B"/>
    <w:rsid w:val="009001B9"/>
    <w:rsid w:val="00900786"/>
    <w:rsid w:val="0090424E"/>
    <w:rsid w:val="00906917"/>
    <w:rsid w:val="00912973"/>
    <w:rsid w:val="00914256"/>
    <w:rsid w:val="00931476"/>
    <w:rsid w:val="00932CA5"/>
    <w:rsid w:val="00936523"/>
    <w:rsid w:val="00936741"/>
    <w:rsid w:val="009379CB"/>
    <w:rsid w:val="00951689"/>
    <w:rsid w:val="009604F2"/>
    <w:rsid w:val="00966DC6"/>
    <w:rsid w:val="00967339"/>
    <w:rsid w:val="00973D6B"/>
    <w:rsid w:val="00976AEF"/>
    <w:rsid w:val="0098061F"/>
    <w:rsid w:val="00981E95"/>
    <w:rsid w:val="0098208E"/>
    <w:rsid w:val="009857E7"/>
    <w:rsid w:val="00990030"/>
    <w:rsid w:val="00990449"/>
    <w:rsid w:val="009974FD"/>
    <w:rsid w:val="009976D4"/>
    <w:rsid w:val="00997A4D"/>
    <w:rsid w:val="009A1B0A"/>
    <w:rsid w:val="009B5720"/>
    <w:rsid w:val="009C1D22"/>
    <w:rsid w:val="009C2A80"/>
    <w:rsid w:val="009C4419"/>
    <w:rsid w:val="009D34C4"/>
    <w:rsid w:val="009D5C40"/>
    <w:rsid w:val="009E56B3"/>
    <w:rsid w:val="009F25A1"/>
    <w:rsid w:val="009F3154"/>
    <w:rsid w:val="009F4A8E"/>
    <w:rsid w:val="00A00602"/>
    <w:rsid w:val="00A01C1D"/>
    <w:rsid w:val="00A03222"/>
    <w:rsid w:val="00A06001"/>
    <w:rsid w:val="00A06641"/>
    <w:rsid w:val="00A1288B"/>
    <w:rsid w:val="00A27D5E"/>
    <w:rsid w:val="00A32B93"/>
    <w:rsid w:val="00A415B7"/>
    <w:rsid w:val="00A42B93"/>
    <w:rsid w:val="00A42F23"/>
    <w:rsid w:val="00A43F29"/>
    <w:rsid w:val="00A44A44"/>
    <w:rsid w:val="00A454C7"/>
    <w:rsid w:val="00A76964"/>
    <w:rsid w:val="00A80521"/>
    <w:rsid w:val="00A84DA1"/>
    <w:rsid w:val="00A9457C"/>
    <w:rsid w:val="00AA073E"/>
    <w:rsid w:val="00AA1DE2"/>
    <w:rsid w:val="00AA3B8F"/>
    <w:rsid w:val="00AA5AE7"/>
    <w:rsid w:val="00AA5B6B"/>
    <w:rsid w:val="00AB7AD1"/>
    <w:rsid w:val="00AD1A0B"/>
    <w:rsid w:val="00AF6315"/>
    <w:rsid w:val="00AF65B3"/>
    <w:rsid w:val="00B00A74"/>
    <w:rsid w:val="00B01B75"/>
    <w:rsid w:val="00B053B5"/>
    <w:rsid w:val="00B15AE4"/>
    <w:rsid w:val="00B15AEF"/>
    <w:rsid w:val="00B16715"/>
    <w:rsid w:val="00B20DC7"/>
    <w:rsid w:val="00B43B0B"/>
    <w:rsid w:val="00B4643E"/>
    <w:rsid w:val="00B4660B"/>
    <w:rsid w:val="00B46FDC"/>
    <w:rsid w:val="00B53939"/>
    <w:rsid w:val="00B61643"/>
    <w:rsid w:val="00B61FF0"/>
    <w:rsid w:val="00B6664F"/>
    <w:rsid w:val="00B66B46"/>
    <w:rsid w:val="00B72AA2"/>
    <w:rsid w:val="00B734FF"/>
    <w:rsid w:val="00B74042"/>
    <w:rsid w:val="00B771F7"/>
    <w:rsid w:val="00B77EB4"/>
    <w:rsid w:val="00B934E6"/>
    <w:rsid w:val="00B942F0"/>
    <w:rsid w:val="00BA04C6"/>
    <w:rsid w:val="00BA06AB"/>
    <w:rsid w:val="00BA3C67"/>
    <w:rsid w:val="00BA4C22"/>
    <w:rsid w:val="00BA5827"/>
    <w:rsid w:val="00BB1B56"/>
    <w:rsid w:val="00BB302B"/>
    <w:rsid w:val="00BB4858"/>
    <w:rsid w:val="00BB76EB"/>
    <w:rsid w:val="00BC44CC"/>
    <w:rsid w:val="00BC4557"/>
    <w:rsid w:val="00BC735C"/>
    <w:rsid w:val="00BE3CC0"/>
    <w:rsid w:val="00BE3F34"/>
    <w:rsid w:val="00BE4FFF"/>
    <w:rsid w:val="00BE5B0A"/>
    <w:rsid w:val="00BF1B30"/>
    <w:rsid w:val="00C01299"/>
    <w:rsid w:val="00C023D1"/>
    <w:rsid w:val="00C11BDD"/>
    <w:rsid w:val="00C272BA"/>
    <w:rsid w:val="00C31081"/>
    <w:rsid w:val="00C31276"/>
    <w:rsid w:val="00C35BE6"/>
    <w:rsid w:val="00C40616"/>
    <w:rsid w:val="00C42C77"/>
    <w:rsid w:val="00C504A6"/>
    <w:rsid w:val="00C511AE"/>
    <w:rsid w:val="00C566EE"/>
    <w:rsid w:val="00C617CE"/>
    <w:rsid w:val="00C6483C"/>
    <w:rsid w:val="00C70F0A"/>
    <w:rsid w:val="00C7181A"/>
    <w:rsid w:val="00C80934"/>
    <w:rsid w:val="00C82B53"/>
    <w:rsid w:val="00C843B0"/>
    <w:rsid w:val="00C9017A"/>
    <w:rsid w:val="00CA2666"/>
    <w:rsid w:val="00CA446E"/>
    <w:rsid w:val="00CB38F1"/>
    <w:rsid w:val="00CC0369"/>
    <w:rsid w:val="00CC08F0"/>
    <w:rsid w:val="00CC1A7B"/>
    <w:rsid w:val="00CC3BC7"/>
    <w:rsid w:val="00CD0044"/>
    <w:rsid w:val="00CD1063"/>
    <w:rsid w:val="00CD43C9"/>
    <w:rsid w:val="00CD54E4"/>
    <w:rsid w:val="00CE0D92"/>
    <w:rsid w:val="00CE29A3"/>
    <w:rsid w:val="00CE4D2D"/>
    <w:rsid w:val="00CF0D93"/>
    <w:rsid w:val="00CF6225"/>
    <w:rsid w:val="00D03E5F"/>
    <w:rsid w:val="00D03F4D"/>
    <w:rsid w:val="00D12AB3"/>
    <w:rsid w:val="00D134FB"/>
    <w:rsid w:val="00D171FA"/>
    <w:rsid w:val="00D20D39"/>
    <w:rsid w:val="00D36DD7"/>
    <w:rsid w:val="00D37A00"/>
    <w:rsid w:val="00D40C77"/>
    <w:rsid w:val="00D44949"/>
    <w:rsid w:val="00D5142F"/>
    <w:rsid w:val="00D53529"/>
    <w:rsid w:val="00D54868"/>
    <w:rsid w:val="00D55258"/>
    <w:rsid w:val="00D55529"/>
    <w:rsid w:val="00D55DCF"/>
    <w:rsid w:val="00D6158D"/>
    <w:rsid w:val="00D64983"/>
    <w:rsid w:val="00D77D4C"/>
    <w:rsid w:val="00D80DF3"/>
    <w:rsid w:val="00D822E1"/>
    <w:rsid w:val="00D84BD5"/>
    <w:rsid w:val="00D84BFD"/>
    <w:rsid w:val="00D87332"/>
    <w:rsid w:val="00D908CC"/>
    <w:rsid w:val="00D9555C"/>
    <w:rsid w:val="00D96EB0"/>
    <w:rsid w:val="00DA1BF6"/>
    <w:rsid w:val="00DA32A3"/>
    <w:rsid w:val="00DA3A68"/>
    <w:rsid w:val="00DA5BAD"/>
    <w:rsid w:val="00DC01F5"/>
    <w:rsid w:val="00DC1FF0"/>
    <w:rsid w:val="00DC2DD6"/>
    <w:rsid w:val="00DC3494"/>
    <w:rsid w:val="00DC4476"/>
    <w:rsid w:val="00DD5EFA"/>
    <w:rsid w:val="00DD697F"/>
    <w:rsid w:val="00DE4862"/>
    <w:rsid w:val="00DE587D"/>
    <w:rsid w:val="00DE7171"/>
    <w:rsid w:val="00DF00E6"/>
    <w:rsid w:val="00DF6051"/>
    <w:rsid w:val="00DF6DF8"/>
    <w:rsid w:val="00E0035D"/>
    <w:rsid w:val="00E00FAF"/>
    <w:rsid w:val="00E04FFF"/>
    <w:rsid w:val="00E0786A"/>
    <w:rsid w:val="00E112E0"/>
    <w:rsid w:val="00E11478"/>
    <w:rsid w:val="00E2065F"/>
    <w:rsid w:val="00E20992"/>
    <w:rsid w:val="00E46D30"/>
    <w:rsid w:val="00E47414"/>
    <w:rsid w:val="00E52EBF"/>
    <w:rsid w:val="00E55291"/>
    <w:rsid w:val="00E56263"/>
    <w:rsid w:val="00E71649"/>
    <w:rsid w:val="00E717E0"/>
    <w:rsid w:val="00E72F3F"/>
    <w:rsid w:val="00E77064"/>
    <w:rsid w:val="00E922F7"/>
    <w:rsid w:val="00E94B6F"/>
    <w:rsid w:val="00E94D71"/>
    <w:rsid w:val="00E95576"/>
    <w:rsid w:val="00EA60EE"/>
    <w:rsid w:val="00EB275C"/>
    <w:rsid w:val="00EB3CCB"/>
    <w:rsid w:val="00EB3DDA"/>
    <w:rsid w:val="00EB587D"/>
    <w:rsid w:val="00EC2DE4"/>
    <w:rsid w:val="00EC3A6D"/>
    <w:rsid w:val="00ED7DA4"/>
    <w:rsid w:val="00EE1756"/>
    <w:rsid w:val="00EE4365"/>
    <w:rsid w:val="00EF0C4F"/>
    <w:rsid w:val="00EF212A"/>
    <w:rsid w:val="00EF354D"/>
    <w:rsid w:val="00F03292"/>
    <w:rsid w:val="00F05EF2"/>
    <w:rsid w:val="00F100F6"/>
    <w:rsid w:val="00F12CA0"/>
    <w:rsid w:val="00F132AF"/>
    <w:rsid w:val="00F21AA5"/>
    <w:rsid w:val="00F229FA"/>
    <w:rsid w:val="00F23231"/>
    <w:rsid w:val="00F25615"/>
    <w:rsid w:val="00F31753"/>
    <w:rsid w:val="00F36B7F"/>
    <w:rsid w:val="00F37CD5"/>
    <w:rsid w:val="00F41A87"/>
    <w:rsid w:val="00F4566C"/>
    <w:rsid w:val="00F54ACA"/>
    <w:rsid w:val="00F60DAD"/>
    <w:rsid w:val="00F6333D"/>
    <w:rsid w:val="00F725AD"/>
    <w:rsid w:val="00F80470"/>
    <w:rsid w:val="00F823F2"/>
    <w:rsid w:val="00F834B3"/>
    <w:rsid w:val="00F837D5"/>
    <w:rsid w:val="00F95509"/>
    <w:rsid w:val="00FA5E41"/>
    <w:rsid w:val="00FB3718"/>
    <w:rsid w:val="00FB4F67"/>
    <w:rsid w:val="00FB7D0C"/>
    <w:rsid w:val="00FC0765"/>
    <w:rsid w:val="00FD0859"/>
    <w:rsid w:val="00FD61D1"/>
    <w:rsid w:val="00FE05DF"/>
    <w:rsid w:val="00FE2E1B"/>
    <w:rsid w:val="00FE2F4D"/>
    <w:rsid w:val="00FE5E5D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09B8"/>
    <w:pPr>
      <w:keepNext/>
      <w:keepLines/>
      <w:spacing w:before="480"/>
      <w:outlineLvl w:val="0"/>
    </w:pPr>
    <w:rPr>
      <w:rFonts w:ascii="Arial" w:eastAsiaTheme="majorEastAsia" w:hAnsi="Arial" w:cs="Arial"/>
      <w:bCs/>
      <w:sz w:val="40"/>
      <w:szCs w:val="40"/>
      <w:lang w:val="fr-CA"/>
    </w:rPr>
  </w:style>
  <w:style w:type="paragraph" w:styleId="Heading2">
    <w:name w:val="heading 2"/>
    <w:basedOn w:val="Normal"/>
    <w:next w:val="Normal"/>
    <w:link w:val="Heading2Char"/>
    <w:unhideWhenUsed/>
    <w:qFormat/>
    <w:rsid w:val="008409B8"/>
    <w:pPr>
      <w:keepNext/>
      <w:keepLines/>
      <w:spacing w:before="200"/>
      <w:outlineLvl w:val="1"/>
    </w:pPr>
    <w:rPr>
      <w:rFonts w:ascii="Arial" w:eastAsiaTheme="majorEastAsia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0C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0C7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857E7"/>
    <w:pPr>
      <w:tabs>
        <w:tab w:val="left" w:pos="3600"/>
        <w:tab w:val="left" w:pos="7200"/>
      </w:tabs>
      <w:suppressAutoHyphens/>
    </w:pPr>
    <w:rPr>
      <w:rFonts w:ascii="Arial" w:hAnsi="Arial" w:cs="Arial"/>
      <w:b/>
      <w:bCs/>
      <w:i/>
      <w:iCs/>
      <w:szCs w:val="20"/>
      <w:lang w:val="en-GB" w:eastAsia="en-US"/>
    </w:rPr>
  </w:style>
  <w:style w:type="paragraph" w:styleId="FootnoteText">
    <w:name w:val="footnote text"/>
    <w:basedOn w:val="Normal"/>
    <w:semiHidden/>
    <w:rsid w:val="00AA1DE2"/>
    <w:rPr>
      <w:sz w:val="20"/>
      <w:szCs w:val="20"/>
    </w:rPr>
  </w:style>
  <w:style w:type="character" w:styleId="FootnoteReference">
    <w:name w:val="footnote reference"/>
    <w:semiHidden/>
    <w:rsid w:val="00AA1DE2"/>
    <w:rPr>
      <w:vertAlign w:val="superscript"/>
    </w:rPr>
  </w:style>
  <w:style w:type="paragraph" w:styleId="BalloonText">
    <w:name w:val="Balloon Text"/>
    <w:basedOn w:val="Normal"/>
    <w:link w:val="BalloonTextChar"/>
    <w:rsid w:val="005B1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14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014B8"/>
    <w:rPr>
      <w:color w:val="0000FF"/>
      <w:u w:val="single"/>
    </w:rPr>
  </w:style>
  <w:style w:type="character" w:styleId="CommentReference">
    <w:name w:val="annotation reference"/>
    <w:rsid w:val="008956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56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56C7"/>
  </w:style>
  <w:style w:type="paragraph" w:styleId="CommentSubject">
    <w:name w:val="annotation subject"/>
    <w:basedOn w:val="CommentText"/>
    <w:next w:val="CommentText"/>
    <w:link w:val="CommentSubjectChar"/>
    <w:rsid w:val="008956C7"/>
    <w:rPr>
      <w:b/>
      <w:bCs/>
    </w:rPr>
  </w:style>
  <w:style w:type="character" w:customStyle="1" w:styleId="CommentSubjectChar">
    <w:name w:val="Comment Subject Char"/>
    <w:link w:val="CommentSubject"/>
    <w:rsid w:val="008956C7"/>
    <w:rPr>
      <w:b/>
      <w:bCs/>
    </w:rPr>
  </w:style>
  <w:style w:type="paragraph" w:styleId="ListParagraph">
    <w:name w:val="List Paragraph"/>
    <w:basedOn w:val="Normal"/>
    <w:uiPriority w:val="34"/>
    <w:qFormat/>
    <w:rsid w:val="00DD5E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409B8"/>
    <w:rPr>
      <w:rFonts w:ascii="Arial" w:eastAsiaTheme="majorEastAsia" w:hAnsi="Arial" w:cs="Arial"/>
      <w:bCs/>
      <w:sz w:val="40"/>
      <w:szCs w:val="40"/>
      <w:lang w:val="fr-CA"/>
    </w:rPr>
  </w:style>
  <w:style w:type="character" w:customStyle="1" w:styleId="Heading2Char">
    <w:name w:val="Heading 2 Char"/>
    <w:basedOn w:val="DefaultParagraphFont"/>
    <w:link w:val="Heading2"/>
    <w:rsid w:val="008409B8"/>
    <w:rPr>
      <w:rFonts w:ascii="Arial" w:eastAsiaTheme="majorEastAsia" w:hAnsi="Arial" w:cs="Arial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7318"/>
    <w:pPr>
      <w:spacing w:line="276" w:lineRule="auto"/>
      <w:outlineLvl w:val="9"/>
    </w:pPr>
    <w:rPr>
      <w:rFonts w:asciiTheme="majorHAnsi" w:hAnsiTheme="majorHAnsi" w:cstheme="majorBidi"/>
      <w:b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873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7318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09B8"/>
    <w:pPr>
      <w:keepNext/>
      <w:keepLines/>
      <w:spacing w:before="480"/>
      <w:outlineLvl w:val="0"/>
    </w:pPr>
    <w:rPr>
      <w:rFonts w:ascii="Arial" w:eastAsiaTheme="majorEastAsia" w:hAnsi="Arial" w:cs="Arial"/>
      <w:bCs/>
      <w:sz w:val="40"/>
      <w:szCs w:val="40"/>
      <w:lang w:val="fr-CA"/>
    </w:rPr>
  </w:style>
  <w:style w:type="paragraph" w:styleId="Heading2">
    <w:name w:val="heading 2"/>
    <w:basedOn w:val="Normal"/>
    <w:next w:val="Normal"/>
    <w:link w:val="Heading2Char"/>
    <w:unhideWhenUsed/>
    <w:qFormat/>
    <w:rsid w:val="008409B8"/>
    <w:pPr>
      <w:keepNext/>
      <w:keepLines/>
      <w:spacing w:before="200"/>
      <w:outlineLvl w:val="1"/>
    </w:pPr>
    <w:rPr>
      <w:rFonts w:ascii="Arial" w:eastAsiaTheme="majorEastAsia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0C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0C7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857E7"/>
    <w:pPr>
      <w:tabs>
        <w:tab w:val="left" w:pos="3600"/>
        <w:tab w:val="left" w:pos="7200"/>
      </w:tabs>
      <w:suppressAutoHyphens/>
    </w:pPr>
    <w:rPr>
      <w:rFonts w:ascii="Arial" w:hAnsi="Arial" w:cs="Arial"/>
      <w:b/>
      <w:bCs/>
      <w:i/>
      <w:iCs/>
      <w:szCs w:val="20"/>
      <w:lang w:val="en-GB" w:eastAsia="en-US"/>
    </w:rPr>
  </w:style>
  <w:style w:type="paragraph" w:styleId="FootnoteText">
    <w:name w:val="footnote text"/>
    <w:basedOn w:val="Normal"/>
    <w:semiHidden/>
    <w:rsid w:val="00AA1DE2"/>
    <w:rPr>
      <w:sz w:val="20"/>
      <w:szCs w:val="20"/>
    </w:rPr>
  </w:style>
  <w:style w:type="character" w:styleId="FootnoteReference">
    <w:name w:val="footnote reference"/>
    <w:semiHidden/>
    <w:rsid w:val="00AA1DE2"/>
    <w:rPr>
      <w:vertAlign w:val="superscript"/>
    </w:rPr>
  </w:style>
  <w:style w:type="paragraph" w:styleId="BalloonText">
    <w:name w:val="Balloon Text"/>
    <w:basedOn w:val="Normal"/>
    <w:link w:val="BalloonTextChar"/>
    <w:rsid w:val="005B1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14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014B8"/>
    <w:rPr>
      <w:color w:val="0000FF"/>
      <w:u w:val="single"/>
    </w:rPr>
  </w:style>
  <w:style w:type="character" w:styleId="CommentReference">
    <w:name w:val="annotation reference"/>
    <w:rsid w:val="008956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56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56C7"/>
  </w:style>
  <w:style w:type="paragraph" w:styleId="CommentSubject">
    <w:name w:val="annotation subject"/>
    <w:basedOn w:val="CommentText"/>
    <w:next w:val="CommentText"/>
    <w:link w:val="CommentSubjectChar"/>
    <w:rsid w:val="008956C7"/>
    <w:rPr>
      <w:b/>
      <w:bCs/>
    </w:rPr>
  </w:style>
  <w:style w:type="character" w:customStyle="1" w:styleId="CommentSubjectChar">
    <w:name w:val="Comment Subject Char"/>
    <w:link w:val="CommentSubject"/>
    <w:rsid w:val="008956C7"/>
    <w:rPr>
      <w:b/>
      <w:bCs/>
    </w:rPr>
  </w:style>
  <w:style w:type="paragraph" w:styleId="ListParagraph">
    <w:name w:val="List Paragraph"/>
    <w:basedOn w:val="Normal"/>
    <w:uiPriority w:val="34"/>
    <w:qFormat/>
    <w:rsid w:val="00DD5E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409B8"/>
    <w:rPr>
      <w:rFonts w:ascii="Arial" w:eastAsiaTheme="majorEastAsia" w:hAnsi="Arial" w:cs="Arial"/>
      <w:bCs/>
      <w:sz w:val="40"/>
      <w:szCs w:val="40"/>
      <w:lang w:val="fr-CA"/>
    </w:rPr>
  </w:style>
  <w:style w:type="character" w:customStyle="1" w:styleId="Heading2Char">
    <w:name w:val="Heading 2 Char"/>
    <w:basedOn w:val="DefaultParagraphFont"/>
    <w:link w:val="Heading2"/>
    <w:rsid w:val="008409B8"/>
    <w:rPr>
      <w:rFonts w:ascii="Arial" w:eastAsiaTheme="majorEastAsia" w:hAnsi="Arial" w:cs="Arial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7318"/>
    <w:pPr>
      <w:spacing w:line="276" w:lineRule="auto"/>
      <w:outlineLvl w:val="9"/>
    </w:pPr>
    <w:rPr>
      <w:rFonts w:asciiTheme="majorHAnsi" w:hAnsiTheme="majorHAnsi" w:cstheme="majorBidi"/>
      <w:b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873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731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3CFB-3F02-4B29-9B1D-758C2E60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12</Pages>
  <Words>2543</Words>
  <Characters>15350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Archives of Ontario Private Acquisitions Strategy</vt:lpstr>
      <vt:lpstr>Archives of Ontario Private Acquisitions Strategy</vt:lpstr>
    </vt:vector>
  </TitlesOfParts>
  <Company>Government of Ontario</Company>
  <LinksUpToDate>false</LinksUpToDate>
  <CharactersWithSpaces>17858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http://www.world-nuclear.org/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 of Ontario Private Acquisitions Strategy</dc:title>
  <dc:creator>birrelad</dc:creator>
  <cp:lastModifiedBy>Birrell, Adam (MGCS)</cp:lastModifiedBy>
  <cp:revision>49</cp:revision>
  <cp:lastPrinted>2015-05-19T13:01:00Z</cp:lastPrinted>
  <dcterms:created xsi:type="dcterms:W3CDTF">2016-03-14T19:48:00Z</dcterms:created>
  <dcterms:modified xsi:type="dcterms:W3CDTF">2016-12-19T18:55:00Z</dcterms:modified>
</cp:coreProperties>
</file>