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E1" w:rsidRPr="00AE7DE1" w:rsidRDefault="00AE7DE1" w:rsidP="00AE7DE1">
      <w:pPr>
        <w:spacing w:after="0" w:line="240" w:lineRule="auto"/>
        <w:rPr>
          <w:rFonts w:ascii="Times New Roman" w:eastAsia="Times New Roman" w:hAnsi="Times New Roman" w:cs="Times New Roman"/>
          <w:sz w:val="24"/>
          <w:szCs w:val="24"/>
          <w:lang w:val="fr-CA" w:eastAsia="en-CA"/>
        </w:rPr>
      </w:pPr>
    </w:p>
    <w:p w:rsidR="00AE7DE1" w:rsidRPr="00AE7DE1" w:rsidRDefault="00AE7DE1" w:rsidP="00AE7DE1">
      <w:pPr>
        <w:spacing w:after="0" w:line="240" w:lineRule="auto"/>
        <w:rPr>
          <w:rFonts w:ascii="Times New Roman" w:eastAsia="Times New Roman" w:hAnsi="Times New Roman" w:cs="Times New Roman"/>
          <w:sz w:val="24"/>
          <w:szCs w:val="24"/>
          <w:lang w:val="fr-CA" w:eastAsia="en-CA"/>
        </w:rPr>
      </w:pPr>
    </w:p>
    <w:p w:rsidR="00AE7DE1" w:rsidRPr="00AE7DE1" w:rsidRDefault="00AE7DE1" w:rsidP="00AE7DE1">
      <w:pPr>
        <w:spacing w:after="0" w:line="240" w:lineRule="auto"/>
        <w:rPr>
          <w:rFonts w:ascii="Times New Roman" w:eastAsia="Times New Roman" w:hAnsi="Times New Roman" w:cs="Times New Roman"/>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Stratégie d’acquisition des documents privés des Archives publiques de l’Ontario</w:t>
      </w:r>
    </w:p>
    <w:p w:rsidR="00AE7DE1" w:rsidRPr="00AE7DE1" w:rsidRDefault="00AE7DE1" w:rsidP="00AE7DE1">
      <w:pPr>
        <w:spacing w:after="0" w:line="240" w:lineRule="auto"/>
        <w:rPr>
          <w:rFonts w:ascii="Times New Roman" w:eastAsia="Times New Roman" w:hAnsi="Times New Roman" w:cs="Times New Roman"/>
          <w:sz w:val="24"/>
          <w:szCs w:val="24"/>
          <w:lang w:val="fr-CA" w:eastAsia="en-CA"/>
        </w:rPr>
      </w:pPr>
    </w:p>
    <w:p w:rsidR="00AE7DE1" w:rsidRPr="00AE7DE1" w:rsidRDefault="00AE7DE1" w:rsidP="00AE7DE1">
      <w:pPr>
        <w:keepNext/>
        <w:spacing w:before="240" w:after="60" w:line="240" w:lineRule="auto"/>
        <w:outlineLvl w:val="0"/>
        <w:rPr>
          <w:rFonts w:ascii="Arial" w:eastAsia="Times New Roman" w:hAnsi="Arial" w:cs="Arial"/>
          <w:bCs/>
          <w:kern w:val="32"/>
          <w:sz w:val="40"/>
          <w:szCs w:val="40"/>
          <w:lang w:val="fr-CA" w:eastAsia="en-CA"/>
        </w:rPr>
      </w:pPr>
      <w:bookmarkStart w:id="0" w:name="_Toc470003028"/>
      <w:r w:rsidRPr="00AE7DE1">
        <w:rPr>
          <w:rFonts w:ascii="Arial" w:eastAsia="Times New Roman" w:hAnsi="Arial" w:cs="Arial"/>
          <w:bCs/>
          <w:kern w:val="32"/>
          <w:sz w:val="40"/>
          <w:szCs w:val="40"/>
          <w:lang w:val="fr-CA" w:eastAsia="en-CA"/>
        </w:rPr>
        <w:t xml:space="preserve">Rapport d’analyse du </w:t>
      </w:r>
      <w:r w:rsidRPr="00AE7DE1">
        <w:rPr>
          <w:rFonts w:ascii="Arial" w:eastAsia="Times New Roman" w:hAnsi="Arial" w:cs="Arial"/>
          <w:b/>
          <w:bCs/>
          <w:kern w:val="32"/>
          <w:sz w:val="40"/>
          <w:szCs w:val="40"/>
          <w:lang w:val="fr-CA" w:eastAsia="en-CA"/>
        </w:rPr>
        <w:t>secteur du travail</w:t>
      </w:r>
      <w:r w:rsidRPr="00AE7DE1">
        <w:rPr>
          <w:rFonts w:ascii="Arial" w:eastAsia="Times New Roman" w:hAnsi="Arial" w:cs="Arial"/>
          <w:bCs/>
          <w:kern w:val="32"/>
          <w:sz w:val="40"/>
          <w:szCs w:val="40"/>
          <w:lang w:val="fr-CA" w:eastAsia="en-CA"/>
        </w:rPr>
        <w:t xml:space="preserve"> en Ontario</w:t>
      </w:r>
      <w:bookmarkEnd w:id="0"/>
    </w:p>
    <w:p w:rsidR="00AE7DE1" w:rsidRPr="00AE7DE1" w:rsidRDefault="00AE7DE1" w:rsidP="00AE7DE1">
      <w:pPr>
        <w:spacing w:after="0" w:line="240" w:lineRule="auto"/>
        <w:jc w:val="center"/>
        <w:rPr>
          <w:rFonts w:ascii="Times New Roman" w:eastAsia="Times New Roman" w:hAnsi="Times New Roman" w:cs="Times New Roman"/>
          <w:sz w:val="24"/>
          <w:szCs w:val="24"/>
          <w:lang w:val="fr-CA" w:eastAsia="en-CA"/>
        </w:rPr>
      </w:pPr>
    </w:p>
    <w:p w:rsidR="00AE7DE1" w:rsidRPr="00AE7DE1" w:rsidRDefault="00AE7DE1" w:rsidP="00AE7DE1">
      <w:pPr>
        <w:spacing w:after="0" w:line="240" w:lineRule="auto"/>
        <w:jc w:val="center"/>
        <w:rPr>
          <w:rFonts w:ascii="Times New Roman" w:eastAsia="Times New Roman" w:hAnsi="Times New Roman" w:cs="Times New Roman"/>
          <w:sz w:val="24"/>
          <w:szCs w:val="24"/>
          <w:lang w:val="fr-CA" w:eastAsia="en-CA"/>
        </w:rPr>
      </w:pPr>
    </w:p>
    <w:p w:rsidR="00AE7DE1" w:rsidRPr="00AE7DE1" w:rsidRDefault="00AE7DE1" w:rsidP="00AE7DE1">
      <w:pPr>
        <w:spacing w:after="0" w:line="240" w:lineRule="auto"/>
        <w:rPr>
          <w:rFonts w:ascii="Arial" w:eastAsia="Times New Roman" w:hAnsi="Arial" w:cs="Arial"/>
          <w:b/>
          <w:sz w:val="28"/>
          <w:szCs w:val="28"/>
          <w:lang w:val="fr-CA" w:eastAsia="en-CA"/>
        </w:rPr>
      </w:pPr>
      <w:r w:rsidRPr="00AE7DE1">
        <w:rPr>
          <w:rFonts w:ascii="Arial" w:eastAsia="Times New Roman" w:hAnsi="Arial" w:cs="Arial"/>
          <w:b/>
          <w:sz w:val="28"/>
          <w:szCs w:val="28"/>
          <w:lang w:val="fr-CA" w:eastAsia="en-CA"/>
        </w:rPr>
        <w:t>Version 1</w:t>
      </w:r>
    </w:p>
    <w:p w:rsidR="00AE7DE1" w:rsidRPr="00AE7DE1" w:rsidRDefault="00AE7DE1" w:rsidP="00AE7DE1">
      <w:pPr>
        <w:spacing w:after="0" w:line="240" w:lineRule="auto"/>
        <w:rPr>
          <w:rFonts w:ascii="Arial" w:eastAsia="Times New Roman" w:hAnsi="Arial" w:cs="Arial"/>
          <w:b/>
          <w:sz w:val="28"/>
          <w:szCs w:val="28"/>
          <w:lang w:val="fr-CA" w:eastAsia="en-CA"/>
        </w:rPr>
      </w:pPr>
      <w:r w:rsidRPr="00AE7DE1">
        <w:rPr>
          <w:rFonts w:ascii="Arial" w:eastAsia="Times New Roman" w:hAnsi="Arial" w:cs="Arial"/>
          <w:b/>
          <w:sz w:val="28"/>
          <w:szCs w:val="28"/>
          <w:lang w:val="fr-CA" w:eastAsia="en-CA"/>
        </w:rPr>
        <w:t>Septembre 2015</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b/>
          <w:sz w:val="24"/>
          <w:szCs w:val="24"/>
          <w:lang w:val="fr-CA" w:eastAsia="en-CA"/>
        </w:rPr>
      </w:pPr>
      <w:r w:rsidRPr="00AE7DE1">
        <w:rPr>
          <w:rFonts w:ascii="Arial" w:eastAsia="Times New Roman" w:hAnsi="Arial" w:cs="Arial"/>
          <w:sz w:val="24"/>
          <w:szCs w:val="24"/>
          <w:lang w:val="fr-CA" w:eastAsia="en-CA"/>
        </w:rPr>
        <w:br w:type="page"/>
      </w:r>
      <w:r w:rsidRPr="00AE7DE1">
        <w:rPr>
          <w:rFonts w:ascii="Arial" w:eastAsia="Times New Roman" w:hAnsi="Arial" w:cs="Arial"/>
          <w:b/>
          <w:bCs/>
          <w:sz w:val="24"/>
          <w:szCs w:val="24"/>
          <w:lang w:val="fr-CA" w:eastAsia="en-CA"/>
        </w:rPr>
        <w:lastRenderedPageBreak/>
        <w:t>Table des matières</w:t>
      </w:r>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r w:rsidRPr="00AE7DE1">
        <w:rPr>
          <w:rFonts w:ascii="Arial" w:eastAsia="Times New Roman" w:hAnsi="Arial" w:cs="Arial"/>
          <w:sz w:val="24"/>
          <w:szCs w:val="24"/>
          <w:lang w:eastAsia="en-CA"/>
        </w:rPr>
        <w:fldChar w:fldCharType="begin"/>
      </w:r>
      <w:r w:rsidRPr="00AE7DE1">
        <w:rPr>
          <w:rFonts w:ascii="Arial" w:eastAsia="Times New Roman" w:hAnsi="Arial" w:cs="Arial"/>
          <w:sz w:val="24"/>
          <w:szCs w:val="24"/>
          <w:lang w:eastAsia="en-CA"/>
        </w:rPr>
        <w:instrText xml:space="preserve"> TOC \o "1-3" \h \z \u </w:instrText>
      </w:r>
      <w:r w:rsidRPr="00AE7DE1">
        <w:rPr>
          <w:rFonts w:ascii="Arial" w:eastAsia="Times New Roman" w:hAnsi="Arial" w:cs="Arial"/>
          <w:sz w:val="24"/>
          <w:szCs w:val="24"/>
          <w:lang w:eastAsia="en-CA"/>
        </w:rPr>
        <w:fldChar w:fldCharType="separate"/>
      </w:r>
      <w:hyperlink w:anchor="_Toc470003028" w:history="1"/>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hyperlink w:anchor="_Toc470003029" w:history="1">
        <w:r w:rsidRPr="00AE7DE1">
          <w:rPr>
            <w:rFonts w:ascii="Times New Roman" w:eastAsia="Times New Roman" w:hAnsi="Times New Roman" w:cs="Times New Roman"/>
            <w:noProof/>
            <w:color w:val="0000FF"/>
            <w:sz w:val="24"/>
            <w:szCs w:val="24"/>
            <w:u w:val="single"/>
            <w:lang w:eastAsia="en-CA"/>
          </w:rPr>
          <w:t>1. Objet</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_Toc470003029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3</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hyperlink w:anchor="_Toc470003030" w:history="1">
        <w:r w:rsidRPr="00AE7DE1">
          <w:rPr>
            <w:rFonts w:ascii="Times New Roman" w:eastAsia="Times New Roman" w:hAnsi="Times New Roman" w:cs="Times New Roman"/>
            <w:noProof/>
            <w:color w:val="0000FF"/>
            <w:sz w:val="24"/>
            <w:szCs w:val="24"/>
            <w:u w:val="single"/>
            <w:lang w:eastAsia="en-CA"/>
          </w:rPr>
          <w:t>2. Aperçu du secteur du travail en Ontario</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_Toc470003030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3</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hyperlink w:anchor="_Toc470003031" w:history="1">
        <w:r w:rsidRPr="00AE7DE1">
          <w:rPr>
            <w:rFonts w:ascii="Times New Roman" w:eastAsia="Times New Roman" w:hAnsi="Times New Roman" w:cs="Times New Roman"/>
            <w:noProof/>
            <w:color w:val="0000FF"/>
            <w:sz w:val="24"/>
            <w:szCs w:val="24"/>
            <w:u w:val="single"/>
            <w:lang w:eastAsia="en-CA"/>
          </w:rPr>
          <w:t>3. Analyse des collections des Archives publiques de l’Ontario</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_Toc470003031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7</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hyperlink w:anchor="_Toc470003032" w:history="1">
        <w:r w:rsidRPr="00AE7DE1">
          <w:rPr>
            <w:rFonts w:ascii="Times New Roman" w:eastAsia="Times New Roman" w:hAnsi="Times New Roman" w:cs="Times New Roman"/>
            <w:noProof/>
            <w:color w:val="0000FF"/>
            <w:sz w:val="24"/>
            <w:szCs w:val="24"/>
            <w:u w:val="single"/>
            <w:lang w:eastAsia="en-CA"/>
          </w:rPr>
          <w:t>4. Méthode d’analyse du secteur du travail</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_Toc470003032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8</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ind w:left="240"/>
        <w:rPr>
          <w:rFonts w:ascii="Arial" w:eastAsia="Times New Roman" w:hAnsi="Arial" w:cs="Arial"/>
          <w:noProof/>
          <w:sz w:val="24"/>
          <w:szCs w:val="24"/>
          <w:lang w:eastAsia="en-CA"/>
        </w:rPr>
      </w:pPr>
      <w:hyperlink w:anchor="_Toc470003033" w:history="1">
        <w:r w:rsidRPr="00AE7DE1">
          <w:rPr>
            <w:rFonts w:ascii="Times New Roman" w:eastAsia="Times New Roman" w:hAnsi="Times New Roman" w:cs="Times New Roman"/>
            <w:noProof/>
            <w:color w:val="0000FF"/>
            <w:sz w:val="24"/>
            <w:szCs w:val="24"/>
            <w:u w:val="single"/>
            <w:lang w:val="fr-CA" w:eastAsia="en-CA"/>
          </w:rPr>
          <w:t>Identification des sous-secteurs</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_Toc470003033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8</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ind w:left="240"/>
        <w:rPr>
          <w:rFonts w:ascii="Arial" w:eastAsia="Times New Roman" w:hAnsi="Arial" w:cs="Arial"/>
          <w:noProof/>
          <w:sz w:val="24"/>
          <w:szCs w:val="24"/>
          <w:lang w:eastAsia="en-CA"/>
        </w:rPr>
      </w:pPr>
      <w:hyperlink w:anchor="_Toc470003034" w:history="1">
        <w:r w:rsidRPr="00AE7DE1">
          <w:rPr>
            <w:rFonts w:ascii="Times New Roman" w:eastAsia="Times New Roman" w:hAnsi="Times New Roman" w:cs="Times New Roman"/>
            <w:noProof/>
            <w:color w:val="0000FF"/>
            <w:sz w:val="24"/>
            <w:szCs w:val="24"/>
            <w:u w:val="single"/>
            <w:lang w:val="fr-CA" w:eastAsia="en-CA"/>
          </w:rPr>
          <w:t>Exclusions et limites</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_Toc470003034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8</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ind w:left="240"/>
        <w:rPr>
          <w:rFonts w:ascii="Arial" w:eastAsia="Times New Roman" w:hAnsi="Arial" w:cs="Arial"/>
          <w:noProof/>
          <w:sz w:val="24"/>
          <w:szCs w:val="24"/>
          <w:lang w:eastAsia="en-CA"/>
        </w:rPr>
      </w:pPr>
      <w:hyperlink w:anchor="_Toc470003035" w:history="1">
        <w:r w:rsidRPr="00AE7DE1">
          <w:rPr>
            <w:rFonts w:ascii="Times New Roman" w:eastAsia="Times New Roman" w:hAnsi="Times New Roman" w:cs="Times New Roman"/>
            <w:noProof/>
            <w:color w:val="0000FF"/>
            <w:sz w:val="24"/>
            <w:szCs w:val="24"/>
            <w:u w:val="single"/>
            <w:lang w:val="fr-CA" w:eastAsia="en-CA"/>
          </w:rPr>
          <w:t>Sous-secteurs du secteur du travail:</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_Toc470003035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8</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ind w:left="240"/>
        <w:rPr>
          <w:rFonts w:ascii="Arial" w:eastAsia="Times New Roman" w:hAnsi="Arial" w:cs="Arial"/>
          <w:noProof/>
          <w:sz w:val="24"/>
          <w:szCs w:val="24"/>
          <w:lang w:eastAsia="en-CA"/>
        </w:rPr>
      </w:pPr>
      <w:hyperlink w:anchor="_Toc470003036" w:history="1">
        <w:r w:rsidRPr="00AE7DE1">
          <w:rPr>
            <w:rFonts w:ascii="Times New Roman" w:eastAsia="Times New Roman" w:hAnsi="Times New Roman" w:cs="Times New Roman"/>
            <w:noProof/>
            <w:color w:val="0000FF"/>
            <w:sz w:val="24"/>
            <w:szCs w:val="24"/>
            <w:u w:val="single"/>
            <w:lang w:val="fr-CA" w:eastAsia="en-CA"/>
          </w:rPr>
          <w:t>Liens fonctionnels du gouvernement:</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_Toc470003036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9</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tabs>
          <w:tab w:val="right" w:leader="dot" w:pos="8636"/>
        </w:tabs>
        <w:spacing w:after="0" w:line="240" w:lineRule="auto"/>
        <w:rPr>
          <w:rFonts w:ascii="Arial" w:eastAsia="Times New Roman" w:hAnsi="Arial" w:cs="Arial"/>
          <w:noProof/>
          <w:sz w:val="24"/>
          <w:szCs w:val="24"/>
          <w:lang w:eastAsia="en-CA"/>
        </w:rPr>
      </w:pPr>
      <w:hyperlink w:anchor="_Toc470003037" w:history="1">
        <w:r w:rsidRPr="00AE7DE1">
          <w:rPr>
            <w:rFonts w:ascii="Times New Roman" w:eastAsia="Times New Roman" w:hAnsi="Times New Roman" w:cs="Times New Roman"/>
            <w:noProof/>
            <w:color w:val="0000FF"/>
            <w:sz w:val="24"/>
            <w:szCs w:val="24"/>
            <w:u w:val="single"/>
            <w:lang w:eastAsia="en-CA"/>
          </w:rPr>
          <w:t>Annexe A : Analyse des sous-secteurs du travail</w:t>
        </w:r>
        <w:r w:rsidRPr="00AE7DE1">
          <w:rPr>
            <w:rFonts w:ascii="Arial" w:eastAsia="Times New Roman" w:hAnsi="Arial" w:cs="Arial"/>
            <w:noProof/>
            <w:webHidden/>
            <w:sz w:val="24"/>
            <w:szCs w:val="24"/>
            <w:lang w:eastAsia="en-CA"/>
          </w:rPr>
          <w:tab/>
        </w:r>
        <w:r w:rsidRPr="00AE7DE1">
          <w:rPr>
            <w:rFonts w:ascii="Arial" w:eastAsia="Times New Roman" w:hAnsi="Arial" w:cs="Arial"/>
            <w:noProof/>
            <w:webHidden/>
            <w:sz w:val="24"/>
            <w:szCs w:val="24"/>
            <w:lang w:eastAsia="en-CA"/>
          </w:rPr>
          <w:fldChar w:fldCharType="begin"/>
        </w:r>
        <w:r w:rsidRPr="00AE7DE1">
          <w:rPr>
            <w:rFonts w:ascii="Arial" w:eastAsia="Times New Roman" w:hAnsi="Arial" w:cs="Arial"/>
            <w:noProof/>
            <w:webHidden/>
            <w:sz w:val="24"/>
            <w:szCs w:val="24"/>
            <w:lang w:eastAsia="en-CA"/>
          </w:rPr>
          <w:instrText xml:space="preserve"> PAGEREF _Toc470003037 \h </w:instrText>
        </w:r>
        <w:r w:rsidRPr="00AE7DE1">
          <w:rPr>
            <w:rFonts w:ascii="Arial" w:eastAsia="Times New Roman" w:hAnsi="Arial" w:cs="Arial"/>
            <w:noProof/>
            <w:webHidden/>
            <w:sz w:val="24"/>
            <w:szCs w:val="24"/>
            <w:lang w:eastAsia="en-CA"/>
          </w:rPr>
        </w:r>
        <w:r w:rsidRPr="00AE7DE1">
          <w:rPr>
            <w:rFonts w:ascii="Arial" w:eastAsia="Times New Roman" w:hAnsi="Arial" w:cs="Arial"/>
            <w:noProof/>
            <w:webHidden/>
            <w:sz w:val="24"/>
            <w:szCs w:val="24"/>
            <w:lang w:eastAsia="en-CA"/>
          </w:rPr>
          <w:fldChar w:fldCharType="separate"/>
        </w:r>
        <w:r w:rsidRPr="00AE7DE1">
          <w:rPr>
            <w:rFonts w:ascii="Arial" w:eastAsia="Times New Roman" w:hAnsi="Arial" w:cs="Arial"/>
            <w:noProof/>
            <w:webHidden/>
            <w:sz w:val="24"/>
            <w:szCs w:val="24"/>
            <w:lang w:eastAsia="en-CA"/>
          </w:rPr>
          <w:t>10</w:t>
        </w:r>
        <w:r w:rsidRPr="00AE7DE1">
          <w:rPr>
            <w:rFonts w:ascii="Arial" w:eastAsia="Times New Roman" w:hAnsi="Arial" w:cs="Arial"/>
            <w:noProof/>
            <w:webHidden/>
            <w:sz w:val="24"/>
            <w:szCs w:val="24"/>
            <w:lang w:eastAsia="en-CA"/>
          </w:rPr>
          <w:fldChar w:fldCharType="end"/>
        </w:r>
      </w:hyperlink>
    </w:p>
    <w:p w:rsidR="00AE7DE1" w:rsidRPr="00AE7DE1" w:rsidRDefault="00AE7DE1" w:rsidP="00AE7DE1">
      <w:pPr>
        <w:spacing w:after="0" w:line="240" w:lineRule="auto"/>
        <w:rPr>
          <w:rFonts w:ascii="Times New Roman" w:eastAsia="Times New Roman" w:hAnsi="Times New Roman" w:cs="Times New Roman"/>
          <w:sz w:val="24"/>
          <w:szCs w:val="24"/>
          <w:lang w:eastAsia="en-CA"/>
        </w:rPr>
      </w:pPr>
      <w:r w:rsidRPr="00AE7DE1">
        <w:rPr>
          <w:rFonts w:ascii="Arial" w:eastAsia="Times New Roman" w:hAnsi="Arial" w:cs="Arial"/>
          <w:b/>
          <w:bCs/>
          <w:noProof/>
          <w:sz w:val="24"/>
          <w:szCs w:val="24"/>
          <w:lang w:eastAsia="en-CA"/>
        </w:rPr>
        <w:fldChar w:fldCharType="end"/>
      </w:r>
    </w:p>
    <w:p w:rsidR="00AE7DE1" w:rsidRPr="00AE7DE1" w:rsidRDefault="00AE7DE1" w:rsidP="00AE7DE1">
      <w:pPr>
        <w:keepNext/>
        <w:spacing w:before="240" w:after="60" w:line="240" w:lineRule="auto"/>
        <w:outlineLvl w:val="0"/>
        <w:rPr>
          <w:rFonts w:ascii="Arial" w:eastAsia="Times New Roman" w:hAnsi="Arial" w:cs="Arial"/>
          <w:bCs/>
          <w:kern w:val="32"/>
          <w:sz w:val="40"/>
          <w:szCs w:val="40"/>
          <w:lang w:val="fr-CA" w:eastAsia="en-CA"/>
        </w:rPr>
      </w:pPr>
      <w:r w:rsidRPr="00AE7DE1">
        <w:rPr>
          <w:rFonts w:ascii="Arial" w:eastAsia="Times New Roman" w:hAnsi="Arial" w:cs="Arial"/>
          <w:bCs/>
          <w:kern w:val="32"/>
          <w:sz w:val="40"/>
          <w:szCs w:val="40"/>
          <w:lang w:val="fr-CA" w:eastAsia="en-CA"/>
        </w:rPr>
        <w:br w:type="page"/>
      </w:r>
      <w:bookmarkStart w:id="1" w:name="_Toc470003029"/>
      <w:r w:rsidRPr="00AE7DE1">
        <w:rPr>
          <w:rFonts w:ascii="Arial" w:eastAsia="Times New Roman" w:hAnsi="Arial" w:cs="Arial"/>
          <w:bCs/>
          <w:kern w:val="32"/>
          <w:sz w:val="40"/>
          <w:szCs w:val="40"/>
          <w:lang w:val="fr-CA" w:eastAsia="en-CA"/>
        </w:rPr>
        <w:lastRenderedPageBreak/>
        <w:t>1. Objet</w:t>
      </w:r>
      <w:bookmarkEnd w:id="1"/>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Le présent rapport vise à appliquer les recommandations clés de la Stratégie d’acquisition des documents privés des Archives publiques de l’Ontario en examinant les principaux secteurs de l’Ontario. Il met au premier plan les sous-secteurs ou les domaines du secteur du travail qui sont plus propices à produire des documents d’intérêt provincial.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Des milieux de travail équitables, sécuritaires et stables sont essentiels à la productivité des entreprises, et au bien-être social et économique de la population de l’Ontario. Un milieu de travail sain favorise une économie et un marché de l’emploi solides et concurrentiels pour la province. Par conséquent, la nécessité de documenter ce secteur est élevée.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L’identification et l’évaluation des activités du secteur du travail guideront et appuieront la politique d’acquisition des documents privés du secteur du travail dans la </w:t>
      </w:r>
      <w:r w:rsidRPr="00AE7DE1">
        <w:rPr>
          <w:rFonts w:ascii="Arial" w:eastAsia="Times New Roman" w:hAnsi="Arial" w:cs="Arial"/>
          <w:i/>
          <w:iCs/>
          <w:sz w:val="24"/>
          <w:szCs w:val="24"/>
          <w:lang w:val="fr-CA" w:eastAsia="en-CA"/>
        </w:rPr>
        <w:t>Stratégie d’acquisition des documents privés des Archives publiques de l’Ontario</w:t>
      </w:r>
      <w:r w:rsidRPr="00AE7DE1">
        <w:rPr>
          <w:rFonts w:ascii="Arial" w:eastAsia="Times New Roman" w:hAnsi="Arial" w:cs="Arial"/>
          <w:sz w:val="24"/>
          <w:szCs w:val="24"/>
          <w:lang w:val="fr-CA" w:eastAsia="en-CA"/>
        </w:rPr>
        <w:t>.</w:t>
      </w:r>
    </w:p>
    <w:p w:rsidR="00AE7DE1" w:rsidRPr="00AE7DE1" w:rsidRDefault="00AE7DE1" w:rsidP="00AE7DE1">
      <w:pPr>
        <w:keepNext/>
        <w:spacing w:before="240" w:after="60" w:line="240" w:lineRule="auto"/>
        <w:outlineLvl w:val="0"/>
        <w:rPr>
          <w:rFonts w:ascii="Arial" w:eastAsia="Times New Roman" w:hAnsi="Arial" w:cs="Arial"/>
          <w:bCs/>
          <w:kern w:val="32"/>
          <w:sz w:val="40"/>
          <w:szCs w:val="40"/>
          <w:lang w:val="fr-CA" w:eastAsia="en-CA"/>
        </w:rPr>
      </w:pPr>
      <w:bookmarkStart w:id="2" w:name="_Toc470003030"/>
      <w:r w:rsidRPr="00AE7DE1">
        <w:rPr>
          <w:rFonts w:ascii="Arial" w:eastAsia="Times New Roman" w:hAnsi="Arial" w:cs="Arial"/>
          <w:bCs/>
          <w:kern w:val="32"/>
          <w:sz w:val="40"/>
          <w:szCs w:val="40"/>
          <w:lang w:val="fr-CA" w:eastAsia="en-CA"/>
        </w:rPr>
        <w:t>2. Aperçu du secteur du travail en Ontario</w:t>
      </w:r>
      <w:bookmarkEnd w:id="2"/>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Les questions qui touchent le travail ont longtemps soulevé des préoccupations chez les citoyens et le gouvernement de l’Ontario. Plusieurs des droits des travailleurs, comme les journées de travail plus courtes, les jours de vacances, le salaire minimum, les protections relatives à la santé et à la sécurité au travail et l’indemnisation des travailleurs, sont le fruit de longues luttes entre les travailleurs, leurs employeurs et le gouvernement provincial.</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Bien que les syndicats existent en Ontario depuis au moins 1834,</w:t>
      </w:r>
      <w:r w:rsidRPr="00AE7DE1">
        <w:rPr>
          <w:rFonts w:ascii="Arial" w:eastAsia="Times New Roman" w:hAnsi="Arial" w:cs="Arial"/>
          <w:sz w:val="24"/>
          <w:szCs w:val="24"/>
          <w:vertAlign w:val="superscript"/>
          <w:lang w:val="fr-CA" w:eastAsia="en-CA"/>
        </w:rPr>
        <w:footnoteReference w:id="1"/>
      </w:r>
      <w:r w:rsidRPr="00AE7DE1">
        <w:rPr>
          <w:rFonts w:ascii="Arial" w:eastAsia="Times New Roman" w:hAnsi="Arial" w:cs="Arial"/>
          <w:sz w:val="24"/>
          <w:szCs w:val="24"/>
          <w:lang w:val="fr-CA" w:eastAsia="en-CA"/>
        </w:rPr>
        <w:t xml:space="preserve"> jusqu’à l’adoption de la </w:t>
      </w:r>
      <w:r w:rsidRPr="00AE7DE1">
        <w:rPr>
          <w:rFonts w:ascii="Arial" w:eastAsia="Times New Roman" w:hAnsi="Arial" w:cs="Arial"/>
          <w:i/>
          <w:sz w:val="24"/>
          <w:szCs w:val="24"/>
          <w:lang w:val="fr-CA" w:eastAsia="en-CA"/>
        </w:rPr>
        <w:t xml:space="preserve">Loi sur les unions ouvrières </w:t>
      </w:r>
      <w:r w:rsidRPr="00AE7DE1">
        <w:rPr>
          <w:rFonts w:ascii="Arial" w:eastAsia="Times New Roman" w:hAnsi="Arial" w:cs="Arial"/>
          <w:sz w:val="24"/>
          <w:szCs w:val="24"/>
          <w:lang w:val="fr-CA" w:eastAsia="en-CA"/>
        </w:rPr>
        <w:t>du gouvernement fédéral en 1872, à la suite d’une grève de la Toronto Typographical Union qui a duré une journée de neuf heures, les syndicats en Ontario ont mené leurs activités de façon illégale.</w:t>
      </w:r>
      <w:r w:rsidRPr="00AE7DE1">
        <w:rPr>
          <w:rFonts w:ascii="Arial" w:eastAsia="Times New Roman" w:hAnsi="Arial" w:cs="Arial"/>
          <w:sz w:val="24"/>
          <w:szCs w:val="24"/>
          <w:vertAlign w:val="superscript"/>
          <w:lang w:val="fr-CA" w:eastAsia="en-CA"/>
        </w:rPr>
        <w:footnoteReference w:id="2"/>
      </w:r>
      <w:r w:rsidRPr="00AE7DE1">
        <w:rPr>
          <w:rFonts w:ascii="Arial" w:eastAsia="Times New Roman" w:hAnsi="Arial" w:cs="Arial"/>
          <w:sz w:val="24"/>
          <w:szCs w:val="24"/>
          <w:lang w:val="fr-CA" w:eastAsia="en-CA"/>
        </w:rPr>
        <w:t xml:space="preserve"> Malgré cela, les travailleurs se sont regroupés et se sont battus à plusieurs reprises pour obtenir de meilleures conditions de travail, par exemple, les grèves violentes des travailleurs sur les chantiers du canal Welland dans les années 1840.</w:t>
      </w:r>
      <w:r w:rsidRPr="00AE7DE1">
        <w:rPr>
          <w:rFonts w:ascii="Arial" w:eastAsia="Times New Roman" w:hAnsi="Arial" w:cs="Arial"/>
          <w:sz w:val="24"/>
          <w:szCs w:val="24"/>
          <w:vertAlign w:val="superscript"/>
          <w:lang w:val="fr-CA" w:eastAsia="en-CA"/>
        </w:rPr>
        <w:footnoteReference w:id="3"/>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En 1914, le gouvernement de l’Ontario a adopté la </w:t>
      </w:r>
      <w:r w:rsidRPr="00AE7DE1">
        <w:rPr>
          <w:rFonts w:ascii="Arial" w:eastAsia="Times New Roman" w:hAnsi="Arial" w:cs="Arial"/>
          <w:i/>
          <w:sz w:val="24"/>
          <w:szCs w:val="24"/>
          <w:lang w:val="fr-CA" w:eastAsia="en-CA"/>
        </w:rPr>
        <w:t>Loi sur les accidents du travail</w:t>
      </w:r>
      <w:r w:rsidRPr="00AE7DE1">
        <w:rPr>
          <w:rFonts w:ascii="Arial" w:eastAsia="Times New Roman" w:hAnsi="Arial" w:cs="Arial"/>
          <w:sz w:val="24"/>
          <w:szCs w:val="24"/>
          <w:lang w:val="fr-CA" w:eastAsia="en-CA"/>
        </w:rPr>
        <w:t xml:space="preserve">, et est devenu par le fait même la première province à mettre sur pied un </w:t>
      </w:r>
      <w:r w:rsidRPr="00AE7DE1">
        <w:rPr>
          <w:rFonts w:ascii="Arial" w:eastAsia="Times New Roman" w:hAnsi="Arial" w:cs="Arial"/>
          <w:sz w:val="24"/>
          <w:szCs w:val="24"/>
          <w:lang w:val="fr-CA" w:eastAsia="en-CA"/>
        </w:rPr>
        <w:lastRenderedPageBreak/>
        <w:t>plan de services sociaux provincial.</w:t>
      </w:r>
      <w:r w:rsidRPr="00AE7DE1">
        <w:rPr>
          <w:rFonts w:ascii="Arial" w:eastAsia="Times New Roman" w:hAnsi="Arial" w:cs="Arial"/>
          <w:sz w:val="24"/>
          <w:szCs w:val="24"/>
          <w:vertAlign w:val="superscript"/>
          <w:lang w:val="fr-CA" w:eastAsia="en-CA"/>
        </w:rPr>
        <w:footnoteReference w:id="4"/>
      </w:r>
      <w:r w:rsidRPr="00AE7DE1">
        <w:rPr>
          <w:rFonts w:ascii="Arial" w:eastAsia="Times New Roman" w:hAnsi="Arial" w:cs="Arial"/>
          <w:sz w:val="24"/>
          <w:szCs w:val="24"/>
          <w:lang w:val="fr-CA" w:eastAsia="en-CA"/>
        </w:rPr>
        <w:t xml:space="preserve"> Malgré les progrès, les conditions des travailleurs sont demeurées insatisfaisantes. Pendant et après la Première Guerre mondiale, les syndicats ont observé une augmentation marquée du nombre de leurs membres et de la fréquence des grèves. En 1919, plus de 400 grèves ont été déclenchées au Canada, dont un très grand nombre en Ontario.</w:t>
      </w:r>
      <w:r w:rsidRPr="00AE7DE1">
        <w:rPr>
          <w:rFonts w:ascii="Arial" w:eastAsia="Times New Roman" w:hAnsi="Arial" w:cs="Arial"/>
          <w:sz w:val="24"/>
          <w:szCs w:val="24"/>
          <w:vertAlign w:val="superscript"/>
          <w:lang w:val="fr-CA" w:eastAsia="en-CA"/>
        </w:rPr>
        <w:footnoteReference w:id="5"/>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En 1944, la première fédération provinciale du travail a été formée en Ontario lorsque le Congrès du Travail du Canada a créé la Fédération du travail de l’Ontario.</w:t>
      </w:r>
      <w:r w:rsidRPr="00AE7DE1">
        <w:rPr>
          <w:rFonts w:ascii="Arial" w:eastAsia="Times New Roman" w:hAnsi="Arial" w:cs="Arial"/>
          <w:sz w:val="24"/>
          <w:szCs w:val="24"/>
          <w:vertAlign w:val="superscript"/>
          <w:lang w:val="fr-CA" w:eastAsia="en-CA"/>
        </w:rPr>
        <w:footnoteReference w:id="6"/>
      </w:r>
      <w:r w:rsidRPr="00AE7DE1">
        <w:rPr>
          <w:rFonts w:ascii="Arial" w:eastAsia="Times New Roman" w:hAnsi="Arial" w:cs="Arial"/>
          <w:sz w:val="24"/>
          <w:szCs w:val="24"/>
          <w:lang w:val="fr-CA" w:eastAsia="en-CA"/>
        </w:rPr>
        <w:t xml:space="preserve"> Peu après, en 1945, une décision d’arbitrage donnant lieu à une grève de 99 jours des travailleurs de Ford à Windsor a engendré la création de la formule Rand, qui a contribué à donner aux syndicats une sécurité financière en décidant que les cotisations syndicales seraient obligatoires dans les lieux de travail ayant des unités de négociation collective.</w:t>
      </w:r>
      <w:r w:rsidRPr="00AE7DE1">
        <w:rPr>
          <w:rFonts w:ascii="Arial" w:eastAsia="Times New Roman" w:hAnsi="Arial" w:cs="Arial"/>
          <w:sz w:val="24"/>
          <w:szCs w:val="24"/>
          <w:vertAlign w:val="superscript"/>
          <w:lang w:val="fr-CA" w:eastAsia="en-CA"/>
        </w:rPr>
        <w:footnoteReference w:id="7"/>
      </w:r>
      <w:r w:rsidRPr="00AE7DE1">
        <w:rPr>
          <w:rFonts w:ascii="Arial" w:eastAsia="Times New Roman" w:hAnsi="Arial" w:cs="Arial"/>
          <w:sz w:val="24"/>
          <w:szCs w:val="24"/>
          <w:lang w:val="fr-CA" w:eastAsia="en-CA"/>
        </w:rPr>
        <w:t xml:space="preserve"> Toutefois, les modifications à la </w:t>
      </w:r>
      <w:r w:rsidRPr="00AE7DE1">
        <w:rPr>
          <w:rFonts w:ascii="Arial" w:eastAsia="Times New Roman" w:hAnsi="Arial" w:cs="Arial"/>
          <w:i/>
          <w:sz w:val="24"/>
          <w:szCs w:val="24"/>
          <w:lang w:val="fr-CA" w:eastAsia="en-CA"/>
        </w:rPr>
        <w:t>Loi sur les relations de travail</w:t>
      </w:r>
      <w:r w:rsidRPr="00AE7DE1">
        <w:rPr>
          <w:rFonts w:ascii="Arial" w:eastAsia="Times New Roman" w:hAnsi="Arial" w:cs="Arial"/>
          <w:sz w:val="24"/>
          <w:szCs w:val="24"/>
          <w:lang w:val="fr-CA" w:eastAsia="en-CA"/>
        </w:rPr>
        <w:t xml:space="preserve"> de l’Ontario rendant la formule Rand obligatoire ne seront adoptées qu’en 1978, après la grève de 163 jours de 80 femmes travaillant à l’usine de Fleck à Centralia, en Ontario.</w:t>
      </w:r>
      <w:r w:rsidRPr="00AE7DE1">
        <w:rPr>
          <w:rFonts w:ascii="Arial" w:eastAsia="Times New Roman" w:hAnsi="Arial" w:cs="Arial"/>
          <w:sz w:val="24"/>
          <w:szCs w:val="24"/>
          <w:vertAlign w:val="superscript"/>
          <w:lang w:val="fr-CA" w:eastAsia="en-CA"/>
        </w:rPr>
        <w:footnoteReference w:id="8"/>
      </w:r>
    </w:p>
    <w:p w:rsidR="00AE7DE1" w:rsidRPr="00AE7DE1" w:rsidRDefault="00AE7DE1" w:rsidP="00AE7DE1">
      <w:pPr>
        <w:spacing w:after="0" w:line="240" w:lineRule="auto"/>
        <w:rPr>
          <w:rFonts w:ascii="Arial" w:eastAsia="Times New Roman" w:hAnsi="Arial" w:cs="Arial"/>
          <w:sz w:val="24"/>
          <w:szCs w:val="24"/>
          <w:highlight w:val="yellow"/>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Les années 1970 ont également connu une augmentation massive des membres du syndicat dans le secteur public, et des améliorations à la sécurité au travail ont été apportées grâce à l’introduction de la </w:t>
      </w:r>
      <w:r w:rsidRPr="00AE7DE1">
        <w:rPr>
          <w:rFonts w:ascii="Arial" w:eastAsia="Times New Roman" w:hAnsi="Arial" w:cs="Arial"/>
          <w:i/>
          <w:sz w:val="24"/>
          <w:szCs w:val="24"/>
          <w:lang w:val="fr-CA" w:eastAsia="en-CA"/>
        </w:rPr>
        <w:t>Loi sur la santé et la sécurité au travail</w:t>
      </w:r>
      <w:r w:rsidRPr="00AE7DE1">
        <w:rPr>
          <w:rFonts w:ascii="Arial" w:eastAsia="Times New Roman" w:hAnsi="Arial" w:cs="Arial"/>
          <w:sz w:val="24"/>
          <w:szCs w:val="24"/>
          <w:lang w:val="fr-CA" w:eastAsia="en-CA"/>
        </w:rPr>
        <w:t xml:space="preserve">. Un plus grand nombre d’améliorations ont été apportées dans les années 1980 grâce aux modifications à la </w:t>
      </w:r>
      <w:r w:rsidRPr="00AE7DE1">
        <w:rPr>
          <w:rFonts w:ascii="Arial" w:eastAsia="Times New Roman" w:hAnsi="Arial" w:cs="Arial"/>
          <w:i/>
          <w:sz w:val="24"/>
          <w:szCs w:val="24"/>
          <w:lang w:val="fr-CA" w:eastAsia="en-CA"/>
        </w:rPr>
        <w:t>Loi sur les accidents du travail</w:t>
      </w:r>
      <w:r w:rsidRPr="00AE7DE1">
        <w:rPr>
          <w:rFonts w:ascii="Arial" w:eastAsia="Times New Roman" w:hAnsi="Arial" w:cs="Arial"/>
          <w:sz w:val="24"/>
          <w:szCs w:val="24"/>
          <w:lang w:val="fr-CA" w:eastAsia="en-CA"/>
        </w:rPr>
        <w:t xml:space="preserve"> et à l’établissement du Tribunal d’appel des accidents du travail et du Bureau des conseillers des travailleurs.</w:t>
      </w:r>
      <w:r w:rsidRPr="00AE7DE1">
        <w:rPr>
          <w:rFonts w:ascii="Arial" w:eastAsia="Times New Roman" w:hAnsi="Arial" w:cs="Arial"/>
          <w:sz w:val="24"/>
          <w:szCs w:val="24"/>
          <w:vertAlign w:val="superscript"/>
          <w:lang w:val="fr-CA" w:eastAsia="en-CA"/>
        </w:rPr>
        <w:footnoteReference w:id="9"/>
      </w:r>
      <w:r w:rsidRPr="00AE7DE1">
        <w:rPr>
          <w:rFonts w:ascii="Arial" w:eastAsia="Times New Roman" w:hAnsi="Arial" w:cs="Arial"/>
          <w:sz w:val="24"/>
          <w:szCs w:val="24"/>
          <w:lang w:val="fr-CA" w:eastAsia="en-CA"/>
        </w:rPr>
        <w:t xml:space="preserve">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En 1993, l’introduction du projet de loi 40 soumis par le Nouveau parti démocrate (NPD) a apporté d’importantes améliorations aux lois sur le travail. Cependant, la plupart de ces progrès ont été abrogés en 1995 par le projet de loi 7 du gouvernement Harris.</w:t>
      </w:r>
      <w:r w:rsidRPr="00AE7DE1">
        <w:rPr>
          <w:rFonts w:ascii="Arial" w:eastAsia="Times New Roman" w:hAnsi="Arial" w:cs="Arial"/>
          <w:sz w:val="24"/>
          <w:szCs w:val="24"/>
          <w:vertAlign w:val="superscript"/>
          <w:lang w:val="fr-CA" w:eastAsia="en-CA"/>
        </w:rPr>
        <w:footnoteReference w:id="10"/>
      </w:r>
      <w:r w:rsidRPr="00AE7DE1">
        <w:rPr>
          <w:rFonts w:ascii="Arial" w:eastAsia="Times New Roman" w:hAnsi="Arial" w:cs="Arial"/>
          <w:sz w:val="24"/>
          <w:szCs w:val="24"/>
          <w:lang w:val="fr-CA" w:eastAsia="en-CA"/>
        </w:rPr>
        <w:t xml:space="preserve"> Les compressions du gouvernement Harris dans le secteur du travail et dans les services sociaux ont déclenché des journées de protestations qui ont duré de 1995 à 1998, au cours desquelles plus d’un million </w:t>
      </w:r>
      <w:r w:rsidRPr="00AE7DE1">
        <w:rPr>
          <w:rFonts w:ascii="Arial" w:eastAsia="Times New Roman" w:hAnsi="Arial" w:cs="Arial"/>
          <w:sz w:val="24"/>
          <w:szCs w:val="24"/>
          <w:lang w:val="fr-CA" w:eastAsia="en-CA"/>
        </w:rPr>
        <w:lastRenderedPageBreak/>
        <w:t>de personnes ont sillonné les rues de toute la province pour protester contre les politiques du Parti progressiste-conservateur.</w:t>
      </w:r>
      <w:r w:rsidRPr="00AE7DE1">
        <w:rPr>
          <w:rFonts w:ascii="Arial" w:eastAsia="Times New Roman" w:hAnsi="Arial" w:cs="Arial"/>
          <w:sz w:val="24"/>
          <w:szCs w:val="24"/>
          <w:vertAlign w:val="superscript"/>
          <w:lang w:val="fr-CA" w:eastAsia="en-CA"/>
        </w:rPr>
        <w:footnoteReference w:id="11"/>
      </w:r>
    </w:p>
    <w:p w:rsidR="00AE7DE1" w:rsidRPr="00AE7DE1" w:rsidRDefault="00AE7DE1" w:rsidP="00AE7DE1">
      <w:pPr>
        <w:keepNext/>
        <w:spacing w:before="240" w:after="60" w:line="240" w:lineRule="auto"/>
        <w:outlineLvl w:val="0"/>
        <w:rPr>
          <w:rFonts w:ascii="Times New Roman" w:eastAsia="Times New Roman" w:hAnsi="Times New Roman" w:cs="Times New Roman"/>
          <w:bCs/>
          <w:kern w:val="32"/>
          <w:sz w:val="40"/>
          <w:szCs w:val="40"/>
          <w:lang w:val="fr-CA" w:eastAsia="en-CA"/>
        </w:rPr>
      </w:pPr>
      <w:r w:rsidRPr="00AE7DE1">
        <w:rPr>
          <w:rFonts w:ascii="Arial" w:eastAsia="Times New Roman" w:hAnsi="Arial" w:cs="Arial"/>
          <w:bCs/>
          <w:kern w:val="32"/>
          <w:sz w:val="40"/>
          <w:szCs w:val="40"/>
          <w:lang w:val="fr-CA" w:eastAsia="en-CA"/>
        </w:rPr>
        <w:t>2. Aperçu du secteur du travail en Ontario (a continué)</w:t>
      </w: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Pendant une majeure partie des années 2000, on a observé des tentatives de récupérer les pertes subies sous le règne du gouvernement Harris. Les principaux problèmes étaient les pertes d’emplois dans le secteur manufacturier, la privatisation, la modification de la </w:t>
      </w:r>
      <w:r w:rsidRPr="00AE7DE1">
        <w:rPr>
          <w:rFonts w:ascii="Arial" w:eastAsia="Times New Roman" w:hAnsi="Arial" w:cs="Arial"/>
          <w:i/>
          <w:sz w:val="24"/>
          <w:szCs w:val="24"/>
          <w:lang w:val="fr-CA" w:eastAsia="en-CA"/>
        </w:rPr>
        <w:t>Loi sur l’équité salariale</w:t>
      </w:r>
      <w:r w:rsidRPr="00AE7DE1">
        <w:rPr>
          <w:rFonts w:ascii="Arial" w:eastAsia="Times New Roman" w:hAnsi="Arial" w:cs="Arial"/>
          <w:sz w:val="24"/>
          <w:szCs w:val="24"/>
          <w:lang w:val="fr-CA" w:eastAsia="en-CA"/>
        </w:rPr>
        <w:t>, l’augmentation du salaire minimum, des protections pour les travailleurs GLBT (gais, lesbiennes, bisexuels et transgenres), la santé et la sécurité des travailleurs et le rétablissement des droits syndicaux qui ont été supprimés dans les années 1990.</w:t>
      </w:r>
      <w:r w:rsidRPr="00AE7DE1">
        <w:rPr>
          <w:rFonts w:ascii="Arial" w:eastAsia="Times New Roman" w:hAnsi="Arial" w:cs="Arial"/>
          <w:sz w:val="24"/>
          <w:szCs w:val="24"/>
          <w:vertAlign w:val="superscript"/>
          <w:lang w:val="fr-CA" w:eastAsia="en-CA"/>
        </w:rPr>
        <w:footnoteReference w:id="12"/>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 gouvernement libéral sous la gouverne de la première ministre Kathleen Wynne a promis d’enquêter sur les mesures que le gouvernement pourrait envisager « en vertu de notre régime du droit du travail pour continuer à protéger les travailleurs tout en soutenant les entreprises au sein de l’économie moderne actuelle. »</w:t>
      </w:r>
      <w:r w:rsidRPr="00AE7DE1">
        <w:rPr>
          <w:rFonts w:ascii="Arial" w:eastAsia="Times New Roman" w:hAnsi="Arial" w:cs="Arial"/>
          <w:sz w:val="24"/>
          <w:szCs w:val="24"/>
          <w:vertAlign w:val="superscript"/>
          <w:lang w:val="fr-CA" w:eastAsia="en-CA"/>
        </w:rPr>
        <w:footnoteReference w:id="13"/>
      </w:r>
      <w:r w:rsidRPr="00AE7DE1">
        <w:rPr>
          <w:rFonts w:ascii="Arial" w:eastAsia="Times New Roman" w:hAnsi="Arial" w:cs="Arial"/>
          <w:sz w:val="24"/>
          <w:szCs w:val="24"/>
          <w:lang w:val="fr-CA" w:eastAsia="en-CA"/>
        </w:rPr>
        <w:t xml:space="preserve"> Les initiatives prioritaires du ministère du Travail en 2014 comprenaient l’élaboration d’une stratégie de réduction de l’écart salarial, la protection des travailleurs vulnérables, la promotion de la santé et de la sécurité au travail, le soutien à la santé mentale au travail et la collaboration avec « les employeurs et les syndicats afin de soutenir et de respecter le processus de négociation collective. »</w:t>
      </w:r>
      <w:r w:rsidRPr="00AE7DE1">
        <w:rPr>
          <w:rFonts w:ascii="Arial" w:eastAsia="Times New Roman" w:hAnsi="Arial" w:cs="Arial"/>
          <w:sz w:val="24"/>
          <w:szCs w:val="24"/>
          <w:vertAlign w:val="superscript"/>
          <w:lang w:val="fr-CA" w:eastAsia="en-CA"/>
        </w:rPr>
        <w:footnoteReference w:id="14"/>
      </w:r>
      <w:r w:rsidRPr="00AE7DE1">
        <w:rPr>
          <w:rFonts w:ascii="Arial" w:eastAsia="Times New Roman" w:hAnsi="Arial" w:cs="Arial"/>
          <w:sz w:val="24"/>
          <w:szCs w:val="24"/>
          <w:lang w:val="fr-CA" w:eastAsia="en-CA"/>
        </w:rPr>
        <w:t xml:space="preserve"> Au cours de l’exercice 2013-2014, le gouvernement de l’Ontario a alloué environ 305,7 millions de dollars à la réalisation d’initiatives liées au travail, dont la grande majorité (72 %) visait le soutien à la santé et à la sécurité au travail.</w:t>
      </w:r>
      <w:r w:rsidRPr="00AE7DE1">
        <w:rPr>
          <w:rFonts w:ascii="Arial" w:eastAsia="Times New Roman" w:hAnsi="Arial" w:cs="Arial"/>
          <w:sz w:val="24"/>
          <w:szCs w:val="24"/>
          <w:vertAlign w:val="superscript"/>
          <w:lang w:val="fr-CA" w:eastAsia="en-CA"/>
        </w:rPr>
        <w:footnoteReference w:id="15"/>
      </w:r>
    </w:p>
    <w:p w:rsidR="00AE7DE1" w:rsidRPr="00AE7DE1" w:rsidRDefault="00AE7DE1" w:rsidP="00AE7DE1">
      <w:pPr>
        <w:spacing w:after="0" w:line="240" w:lineRule="auto"/>
        <w:rPr>
          <w:rFonts w:ascii="Arial" w:eastAsia="Times New Roman" w:hAnsi="Arial" w:cs="Arial"/>
          <w:sz w:val="24"/>
          <w:szCs w:val="24"/>
          <w:highlight w:val="yellow"/>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Les domaines clés de responsabilité du ministère du Travail sont la santé et la sécurité, les droits et les responsabilités en matière d’emploi et les relations de travail. Dans le cadre de ces domaines de responsabilité, le mandat du Ministère consiste à établir, à communiquer et à faire respecter les normes d’emploi, tout en encourageant une plus grande autonomie en milieu de travail. Le Ministère élabore, coordonne et met en œuvre des stratégies visant à prévenir les blessures et les maladies professionnelles et peut établir des normes pour accroître la formation en santé et sécurité. Les associations, les organismes, les conseils et les commissions spécialisés suivants aident le Ministère dans son </w:t>
      </w:r>
      <w:r w:rsidRPr="00AE7DE1">
        <w:rPr>
          <w:rFonts w:ascii="Arial" w:eastAsia="Times New Roman" w:hAnsi="Arial" w:cs="Arial"/>
          <w:sz w:val="24"/>
          <w:szCs w:val="24"/>
          <w:lang w:val="fr-CA" w:eastAsia="en-CA"/>
        </w:rPr>
        <w:lastRenderedPageBreak/>
        <w:t>travail : la Commission de règlement des griefs, le Bureau des conseillers des travailleurs, le Bureau des conseillers du patronat, le Bureau des relations de travail de l’Ontario, le Tribunal de l’équité salariale, la Commission de la sécurité professionnelle et de l’assurance contre les accidents du travail et le Tribunal d’appel de la sécurité professionnelle et l’assurance contre les accidents du travail.</w:t>
      </w:r>
      <w:r w:rsidRPr="00AE7DE1">
        <w:rPr>
          <w:rFonts w:ascii="Arial" w:eastAsia="Times New Roman" w:hAnsi="Arial" w:cs="Arial"/>
          <w:sz w:val="24"/>
          <w:szCs w:val="24"/>
          <w:vertAlign w:val="superscript"/>
          <w:lang w:val="fr-CA" w:eastAsia="en-CA"/>
        </w:rPr>
        <w:footnoteReference w:id="16"/>
      </w:r>
    </w:p>
    <w:p w:rsidR="00AE7DE1" w:rsidRPr="00AE7DE1" w:rsidRDefault="00AE7DE1" w:rsidP="00AE7DE1">
      <w:pPr>
        <w:keepNext/>
        <w:spacing w:before="240" w:after="60" w:line="240" w:lineRule="auto"/>
        <w:outlineLvl w:val="0"/>
        <w:rPr>
          <w:rFonts w:ascii="Times New Roman" w:eastAsia="Times New Roman" w:hAnsi="Times New Roman" w:cs="Times New Roman"/>
          <w:bCs/>
          <w:kern w:val="32"/>
          <w:sz w:val="40"/>
          <w:szCs w:val="40"/>
          <w:lang w:val="fr-CA" w:eastAsia="en-CA"/>
        </w:rPr>
      </w:pPr>
      <w:r w:rsidRPr="00AE7DE1">
        <w:rPr>
          <w:rFonts w:ascii="Arial" w:eastAsia="Times New Roman" w:hAnsi="Arial" w:cs="Arial"/>
          <w:bCs/>
          <w:kern w:val="32"/>
          <w:sz w:val="40"/>
          <w:szCs w:val="40"/>
          <w:lang w:val="fr-CA" w:eastAsia="en-CA"/>
        </w:rPr>
        <w:t>2. Aperçu du secteur du travail en Ontario (a continué)</w:t>
      </w: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 ministère du Travail joue également un rôle actif dans le développement et l’administration de la législation du travail en Ontario. Le Ministère assume la responsabilité de l’administration d’un total de treize lois, dont les suivantes :</w:t>
      </w: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 </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Loi sur la santé et la sécurité au travail</w:t>
      </w:r>
      <w:r w:rsidRPr="00AE7DE1">
        <w:rPr>
          <w:rFonts w:ascii="Arial" w:eastAsia="Times New Roman" w:hAnsi="Arial" w:cs="Arial"/>
          <w:sz w:val="24"/>
          <w:szCs w:val="24"/>
          <w:lang w:val="fr-CA" w:eastAsia="en-CA"/>
        </w:rPr>
        <w:t>, 1990</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Loi sur l’équité salariale</w:t>
      </w:r>
      <w:r w:rsidRPr="00AE7DE1">
        <w:rPr>
          <w:rFonts w:ascii="Arial" w:eastAsia="Times New Roman" w:hAnsi="Arial" w:cs="Arial"/>
          <w:sz w:val="24"/>
          <w:szCs w:val="24"/>
          <w:lang w:val="fr-CA" w:eastAsia="en-CA"/>
        </w:rPr>
        <w:t>, 1990</w:t>
      </w:r>
    </w:p>
    <w:p w:rsidR="00AE7DE1" w:rsidRPr="00AE7DE1" w:rsidRDefault="00AE7DE1" w:rsidP="00AE7DE1">
      <w:pPr>
        <w:numPr>
          <w:ilvl w:val="0"/>
          <w:numId w:val="12"/>
        </w:numPr>
        <w:spacing w:after="0" w:line="240" w:lineRule="auto"/>
        <w:rPr>
          <w:rFonts w:ascii="Arial" w:eastAsia="Times New Roman" w:hAnsi="Arial" w:cs="Arial"/>
          <w:i/>
          <w:sz w:val="24"/>
          <w:szCs w:val="24"/>
          <w:lang w:val="fr-CA" w:eastAsia="en-CA"/>
        </w:rPr>
      </w:pPr>
      <w:r w:rsidRPr="00AE7DE1">
        <w:rPr>
          <w:rFonts w:ascii="Arial" w:eastAsia="Times New Roman" w:hAnsi="Arial" w:cs="Arial"/>
          <w:i/>
          <w:sz w:val="24"/>
          <w:szCs w:val="24"/>
          <w:lang w:val="fr-CA" w:eastAsia="en-CA"/>
        </w:rPr>
        <w:t>Loi sur la sécurité professionnelle et l’assurance contre les accidents du travail</w:t>
      </w:r>
      <w:r w:rsidRPr="00AE7DE1">
        <w:rPr>
          <w:rFonts w:ascii="Arial" w:eastAsia="Times New Roman" w:hAnsi="Arial" w:cs="Arial"/>
          <w:sz w:val="24"/>
          <w:szCs w:val="24"/>
          <w:lang w:val="fr-CA" w:eastAsia="en-CA"/>
        </w:rPr>
        <w:t>, 1997</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Loi sur les relations de travail</w:t>
      </w:r>
      <w:r w:rsidRPr="00AE7DE1">
        <w:rPr>
          <w:rFonts w:ascii="Arial" w:eastAsia="Times New Roman" w:hAnsi="Arial" w:cs="Arial"/>
          <w:sz w:val="24"/>
          <w:szCs w:val="24"/>
          <w:lang w:val="fr-CA" w:eastAsia="en-CA"/>
        </w:rPr>
        <w:t>, 1995</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Loi sur les normes d’emploi</w:t>
      </w:r>
      <w:r w:rsidRPr="00AE7DE1">
        <w:rPr>
          <w:rFonts w:ascii="Arial" w:eastAsia="Times New Roman" w:hAnsi="Arial" w:cs="Arial"/>
          <w:sz w:val="24"/>
          <w:szCs w:val="24"/>
          <w:lang w:val="fr-CA" w:eastAsia="en-CA"/>
        </w:rPr>
        <w:t>, 2000</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 xml:space="preserve">Loi sur le règlement des différends dans le secteur public, </w:t>
      </w:r>
      <w:r w:rsidRPr="00AE7DE1">
        <w:rPr>
          <w:rFonts w:ascii="Arial" w:eastAsia="Times New Roman" w:hAnsi="Arial" w:cs="Arial"/>
          <w:sz w:val="24"/>
          <w:szCs w:val="24"/>
          <w:lang w:val="fr-CA" w:eastAsia="en-CA"/>
        </w:rPr>
        <w:t>1997</w:t>
      </w:r>
    </w:p>
    <w:p w:rsidR="00AE7DE1" w:rsidRPr="00AE7DE1" w:rsidRDefault="00AE7DE1" w:rsidP="00AE7DE1">
      <w:pPr>
        <w:numPr>
          <w:ilvl w:val="0"/>
          <w:numId w:val="12"/>
        </w:numPr>
        <w:spacing w:after="0" w:line="240" w:lineRule="auto"/>
        <w:rPr>
          <w:rFonts w:ascii="Arial" w:eastAsia="Times New Roman" w:hAnsi="Arial" w:cs="Arial"/>
          <w:sz w:val="24"/>
          <w:szCs w:val="24"/>
          <w:lang w:val="fr-CA" w:eastAsia="en-CA"/>
        </w:rPr>
      </w:pPr>
      <w:r w:rsidRPr="00AE7DE1">
        <w:rPr>
          <w:rFonts w:ascii="Arial" w:eastAsia="Times New Roman" w:hAnsi="Arial" w:cs="Arial"/>
          <w:i/>
          <w:sz w:val="24"/>
          <w:szCs w:val="24"/>
          <w:lang w:val="fr-CA" w:eastAsia="en-CA"/>
        </w:rPr>
        <w:t>Loi sur la protection des étrangers dans le cadre de l’emploi</w:t>
      </w:r>
      <w:r w:rsidRPr="00AE7DE1">
        <w:rPr>
          <w:rFonts w:ascii="Arial" w:eastAsia="Times New Roman" w:hAnsi="Arial" w:cs="Arial"/>
          <w:sz w:val="24"/>
          <w:szCs w:val="24"/>
          <w:lang w:val="fr-CA" w:eastAsia="en-CA"/>
        </w:rPr>
        <w:t xml:space="preserve"> (aides familiaux résidents et autres), 2009</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Le ministère du Travail partage également la responsabilité d’administrer d’autres lois, comme la </w:t>
      </w:r>
      <w:r w:rsidRPr="00AE7DE1">
        <w:rPr>
          <w:rFonts w:ascii="Arial" w:eastAsia="Times New Roman" w:hAnsi="Arial" w:cs="Arial"/>
          <w:i/>
          <w:sz w:val="24"/>
          <w:szCs w:val="24"/>
          <w:lang w:val="fr-CA" w:eastAsia="en-CA"/>
        </w:rPr>
        <w:t>Loi de 2008 sur la négociation collective dans les collèges</w:t>
      </w:r>
      <w:r w:rsidRPr="00AE7DE1">
        <w:rPr>
          <w:rFonts w:ascii="Arial" w:eastAsia="Times New Roman" w:hAnsi="Arial" w:cs="Arial"/>
          <w:sz w:val="24"/>
          <w:szCs w:val="24"/>
          <w:lang w:val="fr-CA" w:eastAsia="en-CA"/>
        </w:rPr>
        <w:t xml:space="preserve"> (avec le ministère de la Formation et des Collèges et Universités) et a administré plusieurs lois sur le « retour au travail », notamment la </w:t>
      </w:r>
      <w:r w:rsidRPr="00AE7DE1">
        <w:rPr>
          <w:rFonts w:ascii="Arial" w:eastAsia="Times New Roman" w:hAnsi="Arial" w:cs="Arial"/>
          <w:i/>
          <w:sz w:val="24"/>
          <w:szCs w:val="24"/>
          <w:lang w:val="fr-CA" w:eastAsia="en-CA"/>
        </w:rPr>
        <w:t>Loi de 2008 sur la reprise des services de transport en commun de Toronto</w:t>
      </w:r>
      <w:r w:rsidRPr="00AE7DE1">
        <w:rPr>
          <w:rFonts w:ascii="Arial" w:eastAsia="Times New Roman" w:hAnsi="Arial" w:cs="Arial"/>
          <w:sz w:val="24"/>
          <w:szCs w:val="24"/>
          <w:lang w:val="fr-CA" w:eastAsia="en-CA"/>
        </w:rPr>
        <w:t xml:space="preserve"> et la </w:t>
      </w:r>
      <w:r w:rsidRPr="00AE7DE1">
        <w:rPr>
          <w:rFonts w:ascii="Arial" w:eastAsia="Times New Roman" w:hAnsi="Arial" w:cs="Arial"/>
          <w:i/>
          <w:sz w:val="24"/>
          <w:szCs w:val="24"/>
          <w:lang w:val="fr-CA" w:eastAsia="en-CA"/>
        </w:rPr>
        <w:t>Loi de 2009 sur le règlement des conflits de travail à l’Université York.</w:t>
      </w:r>
      <w:r w:rsidRPr="00AE7DE1">
        <w:rPr>
          <w:rFonts w:ascii="Arial" w:eastAsia="Times New Roman" w:hAnsi="Arial" w:cs="Arial"/>
          <w:sz w:val="24"/>
          <w:szCs w:val="24"/>
          <w:vertAlign w:val="superscript"/>
          <w:lang w:val="fr-CA" w:eastAsia="en-CA"/>
        </w:rPr>
        <w:footnoteReference w:id="17"/>
      </w:r>
      <w:r w:rsidRPr="00AE7DE1">
        <w:rPr>
          <w:rFonts w:ascii="Arial" w:eastAsia="Times New Roman" w:hAnsi="Arial" w:cs="Arial"/>
          <w:sz w:val="24"/>
          <w:szCs w:val="24"/>
          <w:lang w:val="fr-CA" w:eastAsia="en-CA"/>
        </w:rPr>
        <w:t xml:space="preserve">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Relevant du ministère du Travail, la Commission des relations de travail de l’Ontario agit à titre de tribunal d’arbitrage indépendant et joue un rôle fondamental dans le régime de relations de travail en Ontario. Elle encourage des relations harmonieuses entre les employeurs, les employés et les syndicats en réglant les questions aussi rapidement et aussi équitablement que possible.</w:t>
      </w:r>
      <w:r w:rsidRPr="00AE7DE1">
        <w:rPr>
          <w:rFonts w:ascii="Arial" w:eastAsia="Times New Roman" w:hAnsi="Arial" w:cs="Arial"/>
          <w:sz w:val="24"/>
          <w:szCs w:val="24"/>
          <w:vertAlign w:val="superscript"/>
          <w:lang w:val="fr-CA" w:eastAsia="en-CA"/>
        </w:rPr>
        <w:footnoteReference w:id="18"/>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Des activités liées au travail sont également menées dans le secteur privé sous la forme de syndicats et de fédérations des travailleurs, d’organisations </w:t>
      </w:r>
      <w:r w:rsidRPr="00AE7DE1">
        <w:rPr>
          <w:rFonts w:ascii="Arial" w:eastAsia="Times New Roman" w:hAnsi="Arial" w:cs="Arial"/>
          <w:sz w:val="24"/>
          <w:szCs w:val="24"/>
          <w:lang w:val="fr-CA" w:eastAsia="en-CA"/>
        </w:rPr>
        <w:lastRenderedPageBreak/>
        <w:t>d’employeurs, d’organisations des droits des travailleurs, d’organismes de défense des droits des travailleurs, d’associations professionnelles et de militants individuels. Puisque le travail constitue toujours une priorité pour la province de l’Ontario, il demeure important d’examiner ces domaines du secteur privé pour trouver des dossiers d’intérêt provincial durable.</w:t>
      </w:r>
      <w:r w:rsidRPr="00AE7DE1">
        <w:rPr>
          <w:rFonts w:ascii="Arial" w:eastAsia="Times New Roman" w:hAnsi="Arial" w:cs="Arial"/>
          <w:sz w:val="24"/>
          <w:szCs w:val="24"/>
          <w:lang w:val="fr-CA" w:eastAsia="en-CA"/>
        </w:rPr>
        <w:br/>
      </w:r>
      <w:r w:rsidRPr="00AE7DE1">
        <w:rPr>
          <w:rFonts w:ascii="Times New Roman" w:eastAsia="Times New Roman" w:hAnsi="Times New Roman" w:cs="Times New Roman"/>
          <w:sz w:val="24"/>
          <w:szCs w:val="24"/>
          <w:lang w:val="fr-CA" w:eastAsia="en-CA"/>
        </w:rPr>
        <w:br/>
      </w:r>
      <w:bookmarkStart w:id="3" w:name="_Toc470003031"/>
      <w:r w:rsidRPr="00AE7DE1">
        <w:rPr>
          <w:rFonts w:ascii="Arial" w:eastAsia="Times New Roman" w:hAnsi="Arial" w:cs="Arial"/>
          <w:bCs/>
          <w:kern w:val="32"/>
          <w:sz w:val="40"/>
          <w:szCs w:val="40"/>
          <w:lang w:val="fr-CA" w:eastAsia="en-CA"/>
        </w:rPr>
        <w:t>3. Analyse des collections des Archives publiques de l’Ontario</w:t>
      </w:r>
      <w:bookmarkEnd w:id="3"/>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Lors de l’examen des collections des Archives publiques de l’Ontario pour la période ultérieure à 1980, une recherche dans la base des données descriptives des archives a été entreprise pour déterminer quels documents avaient été acquis auprès du secteur privé et complétaient les fonctions du gouvernement en matière d’administration et de réglementation du travail. Cette recherche a révélé que les collections des Archives publiques contenaient seulement un petit nombre de documents privés qui documentent certaines des fonctions exercées par les deux organismes pour la période ultérieure à 1980.</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Les Archives publiques de l’Ontario indiquent que les trois fonctions fondamentales du Ministère sont les suivantes:</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numPr>
          <w:ilvl w:val="0"/>
          <w:numId w:val="9"/>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Faire respecter les droits et les responsabilités en matière d’emploi</w:t>
      </w:r>
    </w:p>
    <w:p w:rsidR="00AE7DE1" w:rsidRPr="00AE7DE1" w:rsidRDefault="00AE7DE1" w:rsidP="00AE7DE1">
      <w:pPr>
        <w:numPr>
          <w:ilvl w:val="0"/>
          <w:numId w:val="9"/>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Promouvoir la santé et la sécurité au travail</w:t>
      </w:r>
    </w:p>
    <w:p w:rsidR="00AE7DE1" w:rsidRPr="00AE7DE1" w:rsidRDefault="00AE7DE1" w:rsidP="00AE7DE1">
      <w:pPr>
        <w:numPr>
          <w:ilvl w:val="0"/>
          <w:numId w:val="9"/>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Promouvoir et maintenir des relations de travail stables</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alors que les quatre fonctions fondamentales de la Commission des relations de travail de l’Ontario sont les suivantes: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numPr>
          <w:ilvl w:val="0"/>
          <w:numId w:val="9"/>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Fournir du soutien à</w:t>
      </w:r>
      <w:r w:rsidRPr="00AE7DE1">
        <w:rPr>
          <w:rFonts w:ascii="Arial" w:eastAsia="Times New Roman" w:hAnsi="Arial" w:cs="Arial"/>
          <w:bCs/>
          <w:iCs/>
          <w:sz w:val="24"/>
          <w:szCs w:val="24"/>
          <w:lang w:val="fr-CA" w:eastAsia="en-CA"/>
        </w:rPr>
        <w:t xml:space="preserve"> la direction et à la gestion à la Commission</w:t>
      </w:r>
    </w:p>
    <w:p w:rsidR="00AE7DE1" w:rsidRPr="00AE7DE1" w:rsidRDefault="00AE7DE1" w:rsidP="00AE7DE1">
      <w:pPr>
        <w:numPr>
          <w:ilvl w:val="0"/>
          <w:numId w:val="9"/>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Fournir des services de médiation</w:t>
      </w:r>
    </w:p>
    <w:p w:rsidR="00AE7DE1" w:rsidRPr="00AE7DE1" w:rsidRDefault="00AE7DE1" w:rsidP="00AE7DE1">
      <w:pPr>
        <w:numPr>
          <w:ilvl w:val="0"/>
          <w:numId w:val="9"/>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Fournir des services d’arbitrage</w:t>
      </w:r>
    </w:p>
    <w:p w:rsidR="00AE7DE1" w:rsidRPr="00AE7DE1" w:rsidRDefault="00AE7DE1" w:rsidP="00AE7DE1">
      <w:pPr>
        <w:numPr>
          <w:ilvl w:val="0"/>
          <w:numId w:val="9"/>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Examiner les décisions de la Commission</w:t>
      </w:r>
    </w:p>
    <w:p w:rsidR="00AE7DE1" w:rsidRPr="00AE7DE1" w:rsidRDefault="00AE7DE1" w:rsidP="00AE7DE1">
      <w:pPr>
        <w:spacing w:after="0" w:line="240" w:lineRule="auto"/>
        <w:rPr>
          <w:rFonts w:ascii="Arial" w:eastAsia="Times New Roman" w:hAnsi="Arial" w:cs="Arial"/>
          <w:bCs/>
          <w:iCs/>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À l’heure actuelle, les Archives détiennent une certaine représentation de deux de ces sept fonctions dans ses collections privées.</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bCs/>
          <w:iCs/>
          <w:sz w:val="24"/>
          <w:szCs w:val="24"/>
          <w:lang w:val="fr-CA" w:eastAsia="en-CA"/>
        </w:rPr>
      </w:pPr>
      <w:r w:rsidRPr="00AE7DE1">
        <w:rPr>
          <w:rFonts w:ascii="Arial" w:eastAsia="Times New Roman" w:hAnsi="Arial" w:cs="Arial"/>
          <w:bCs/>
          <w:iCs/>
          <w:sz w:val="24"/>
          <w:szCs w:val="24"/>
          <w:lang w:val="fr-CA" w:eastAsia="en-CA"/>
        </w:rPr>
        <w:t>Bien que certaines de ces fonctions, telles que la fourniture de services d’arbitrage, relèvent uniquement du gouvernement de l’Ontario, d’autres fonctions peuvent être représentées, dans une certaine mesure, dans les collections de documents privés des Archives.</w:t>
      </w:r>
    </w:p>
    <w:p w:rsidR="00AE7DE1" w:rsidRPr="00AE7DE1" w:rsidRDefault="00AE7DE1" w:rsidP="00AE7DE1">
      <w:pPr>
        <w:spacing w:after="0" w:line="240" w:lineRule="auto"/>
        <w:rPr>
          <w:rFonts w:ascii="Arial" w:eastAsia="Times New Roman" w:hAnsi="Arial" w:cs="Arial"/>
          <w:bCs/>
          <w:iCs/>
          <w:sz w:val="24"/>
          <w:szCs w:val="24"/>
          <w:lang w:val="fr-CA" w:eastAsia="en-CA"/>
        </w:rPr>
      </w:pPr>
    </w:p>
    <w:p w:rsidR="00AE7DE1" w:rsidRPr="00AE7DE1" w:rsidRDefault="00AE7DE1" w:rsidP="00AE7DE1">
      <w:pPr>
        <w:spacing w:after="0" w:line="240" w:lineRule="auto"/>
        <w:rPr>
          <w:rFonts w:ascii="Arial" w:eastAsia="Times New Roman" w:hAnsi="Arial" w:cs="Arial"/>
          <w:bCs/>
          <w:iCs/>
          <w:sz w:val="24"/>
          <w:szCs w:val="24"/>
          <w:lang w:val="fr-CA" w:eastAsia="en-CA"/>
        </w:rPr>
      </w:pPr>
      <w:r w:rsidRPr="00AE7DE1">
        <w:rPr>
          <w:rFonts w:ascii="Arial" w:eastAsia="Times New Roman" w:hAnsi="Arial" w:cs="Arial"/>
          <w:bCs/>
          <w:iCs/>
          <w:sz w:val="24"/>
          <w:szCs w:val="24"/>
          <w:lang w:val="fr-CA" w:eastAsia="en-CA"/>
        </w:rPr>
        <w:t xml:space="preserve">Le Fonds SCFP Ontario F 1289 en est un exemple. Les documents de ce fonds aident à documenter la compréhension du secteur privé de la fonction « Faire respecter les droits et les responsabilités en matière d’emploi », puisque l’une des principales activités de l’organisme est de défendre de vive voix les droits de ses membres et l’équité en milieu de travail. Les fonds tels que le Fonds SCFP </w:t>
      </w:r>
      <w:r w:rsidRPr="00AE7DE1">
        <w:rPr>
          <w:rFonts w:ascii="Arial" w:eastAsia="Times New Roman" w:hAnsi="Arial" w:cs="Arial"/>
          <w:bCs/>
          <w:iCs/>
          <w:sz w:val="24"/>
          <w:szCs w:val="24"/>
          <w:lang w:val="fr-CA" w:eastAsia="en-CA"/>
        </w:rPr>
        <w:lastRenderedPageBreak/>
        <w:t>Ontario F 1289 peuvent également contribuer à documenter la compréhension du secteur privé de la fonction « Promouvoir et maintenir des relations de travail stables », dans la mesure où cette fonction est dans l’intérêt des employés et des employeurs.</w:t>
      </w:r>
    </w:p>
    <w:p w:rsidR="00AE7DE1" w:rsidRPr="00AE7DE1" w:rsidRDefault="00AE7DE1" w:rsidP="00AE7DE1">
      <w:pPr>
        <w:keepNext/>
        <w:spacing w:before="240" w:after="60" w:line="240" w:lineRule="auto"/>
        <w:outlineLvl w:val="0"/>
        <w:rPr>
          <w:rFonts w:ascii="Arial" w:eastAsia="Times New Roman" w:hAnsi="Arial" w:cs="Arial"/>
          <w:bCs/>
          <w:kern w:val="32"/>
          <w:sz w:val="40"/>
          <w:szCs w:val="40"/>
          <w:lang w:val="fr-CA" w:eastAsia="en-CA"/>
        </w:rPr>
      </w:pPr>
      <w:bookmarkStart w:id="4" w:name="_Toc470003032"/>
      <w:r w:rsidRPr="00AE7DE1">
        <w:rPr>
          <w:rFonts w:ascii="Arial" w:eastAsia="Times New Roman" w:hAnsi="Arial" w:cs="Arial"/>
          <w:bCs/>
          <w:kern w:val="32"/>
          <w:sz w:val="40"/>
          <w:szCs w:val="40"/>
          <w:lang w:val="fr-CA" w:eastAsia="en-CA"/>
        </w:rPr>
        <w:t>4. Méthode d’analyse du secteur du travail</w:t>
      </w:r>
      <w:bookmarkEnd w:id="4"/>
    </w:p>
    <w:p w:rsidR="00AE7DE1" w:rsidRPr="00AE7DE1" w:rsidRDefault="00AE7DE1" w:rsidP="00AE7DE1">
      <w:pPr>
        <w:spacing w:after="0" w:line="240" w:lineRule="auto"/>
        <w:rPr>
          <w:rFonts w:ascii="Arial" w:eastAsia="Times New Roman" w:hAnsi="Arial" w:cs="Arial"/>
          <w:sz w:val="40"/>
          <w:szCs w:val="40"/>
          <w:lang w:val="fr-CA" w:eastAsia="en-CA"/>
        </w:rPr>
      </w:pPr>
      <w:r w:rsidRPr="00AE7DE1">
        <w:rPr>
          <w:rFonts w:ascii="Arial" w:eastAsia="Times New Roman" w:hAnsi="Arial" w:cs="Arial"/>
          <w:sz w:val="24"/>
          <w:szCs w:val="24"/>
          <w:lang w:val="fr-CA" w:eastAsia="en-CA"/>
        </w:rPr>
        <w:t>Cette section décrit la méthode d’analyse et justifie la manière dont le secteur a été divisé et évalué.</w:t>
      </w:r>
    </w:p>
    <w:p w:rsidR="00AE7DE1" w:rsidRPr="00AE7DE1" w:rsidRDefault="00AE7DE1" w:rsidP="00AE7DE1">
      <w:pPr>
        <w:keepNext/>
        <w:spacing w:before="240" w:after="60" w:line="240" w:lineRule="auto"/>
        <w:outlineLvl w:val="1"/>
        <w:rPr>
          <w:rFonts w:ascii="Arial" w:eastAsia="Times New Roman" w:hAnsi="Arial" w:cs="Arial"/>
          <w:b/>
          <w:bCs/>
          <w:iCs/>
          <w:sz w:val="24"/>
          <w:szCs w:val="24"/>
          <w:lang w:val="fr-CA" w:eastAsia="en-CA"/>
        </w:rPr>
      </w:pPr>
      <w:bookmarkStart w:id="5" w:name="_Toc470003033"/>
      <w:r w:rsidRPr="00AE7DE1">
        <w:rPr>
          <w:rFonts w:ascii="Arial" w:eastAsia="Times New Roman" w:hAnsi="Arial" w:cs="Arial"/>
          <w:b/>
          <w:bCs/>
          <w:iCs/>
          <w:sz w:val="24"/>
          <w:szCs w:val="24"/>
          <w:lang w:val="fr-CA" w:eastAsia="en-CA"/>
        </w:rPr>
        <w:t>Identification des sous-secteurs</w:t>
      </w:r>
      <w:bookmarkEnd w:id="5"/>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Les sous-secteurs du secteur du travail ont été sélectionnés d’après une analyse des activités majeures liées au travail qui sont réalisées en Ontario. Les sous-secteurs ont été établis en fonction des catégories principales des organismes, des entités et des particuliers qui participent à ces activités dans le secteur privé ou qui ont un intérêt pour celles-ci.</w:t>
      </w:r>
    </w:p>
    <w:p w:rsidR="00AE7DE1" w:rsidRPr="00AE7DE1" w:rsidRDefault="00AE7DE1" w:rsidP="00AE7DE1">
      <w:pPr>
        <w:keepNext/>
        <w:spacing w:before="240" w:after="60" w:line="240" w:lineRule="auto"/>
        <w:outlineLvl w:val="1"/>
        <w:rPr>
          <w:rFonts w:ascii="Arial" w:eastAsia="Times New Roman" w:hAnsi="Arial" w:cs="Arial"/>
          <w:b/>
          <w:bCs/>
          <w:iCs/>
          <w:sz w:val="24"/>
          <w:szCs w:val="24"/>
          <w:lang w:val="fr-CA" w:eastAsia="en-CA"/>
        </w:rPr>
      </w:pPr>
      <w:bookmarkStart w:id="6" w:name="_Toc470003034"/>
      <w:r w:rsidRPr="00AE7DE1">
        <w:rPr>
          <w:rFonts w:ascii="Arial" w:eastAsia="Times New Roman" w:hAnsi="Arial" w:cs="Arial"/>
          <w:b/>
          <w:bCs/>
          <w:iCs/>
          <w:sz w:val="24"/>
          <w:szCs w:val="24"/>
          <w:lang w:val="fr-CA" w:eastAsia="en-CA"/>
        </w:rPr>
        <w:t>Exclusions et limites</w:t>
      </w:r>
      <w:bookmarkEnd w:id="6"/>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Cette section donne un aperçu de certains secteurs ou catégories du secteur du travail de l’Ontario qui ont été exclus de l’analyse.</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Les documents des associations professionnelles ont été exclus de la présente analyse. Bien que certaines associations professionnelles défendent les droits de leurs membres, il ne s’agit que d’une faible portion de leur mandat. Ces documents seront pris en compte dans l’analyse du secteur qui correspond à leur domaine.</w:t>
      </w:r>
      <w:r w:rsidRPr="00AE7DE1">
        <w:rPr>
          <w:rFonts w:ascii="Arial" w:eastAsia="Times New Roman" w:hAnsi="Arial" w:cs="Arial"/>
          <w:sz w:val="24"/>
          <w:szCs w:val="24"/>
          <w:lang w:val="fr-CA" w:eastAsia="en-CA"/>
        </w:rPr>
        <w:br/>
      </w:r>
      <w:r w:rsidRPr="00AE7DE1">
        <w:rPr>
          <w:rFonts w:ascii="Times New Roman" w:eastAsia="Times New Roman" w:hAnsi="Times New Roman" w:cs="Times New Roman"/>
          <w:sz w:val="24"/>
          <w:szCs w:val="24"/>
          <w:lang w:val="fr-CA" w:eastAsia="en-CA"/>
        </w:rPr>
        <w:br/>
      </w:r>
      <w:r w:rsidRPr="00AE7DE1">
        <w:rPr>
          <w:rFonts w:ascii="Arial" w:eastAsia="Times New Roman" w:hAnsi="Arial" w:cs="Arial"/>
          <w:bCs/>
          <w:kern w:val="32"/>
          <w:sz w:val="40"/>
          <w:szCs w:val="40"/>
          <w:lang w:val="fr-CA" w:eastAsia="en-CA"/>
        </w:rPr>
        <w:t>5. Analyse des sous-secteurs du travail</w:t>
      </w:r>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 xml:space="preserve">La présente section examine la portée du secteur du travail en ce qui a trait aux points suivants :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numPr>
          <w:ilvl w:val="0"/>
          <w:numId w:val="2"/>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Identification et définition des sous-secteurs et des catégories du secteur du travail</w:t>
      </w:r>
    </w:p>
    <w:p w:rsidR="00AE7DE1" w:rsidRPr="00AE7DE1" w:rsidRDefault="00AE7DE1" w:rsidP="00AE7DE1">
      <w:pPr>
        <w:numPr>
          <w:ilvl w:val="0"/>
          <w:numId w:val="2"/>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Établissement de rapports entre les activités du secteur privé et les fonctions du gouvernement</w:t>
      </w:r>
    </w:p>
    <w:p w:rsidR="00AE7DE1" w:rsidRPr="00AE7DE1" w:rsidRDefault="00AE7DE1" w:rsidP="00AE7DE1">
      <w:pPr>
        <w:numPr>
          <w:ilvl w:val="0"/>
          <w:numId w:val="2"/>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Identification des collections actuelles des Archives publiques de l’Ontario liées au secteur du travail (contenant des documents datant de la période ultérieure à 1980)</w:t>
      </w:r>
    </w:p>
    <w:p w:rsidR="00AE7DE1" w:rsidRPr="00AE7DE1" w:rsidRDefault="00AE7DE1" w:rsidP="00AE7DE1">
      <w:pPr>
        <w:numPr>
          <w:ilvl w:val="0"/>
          <w:numId w:val="2"/>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Justification de l’importance d’acquérir de la documentation dans un sous-secteur ou une catégorie</w:t>
      </w:r>
    </w:p>
    <w:p w:rsidR="00AE7DE1" w:rsidRPr="00AE7DE1" w:rsidRDefault="00AE7DE1" w:rsidP="00AE7DE1">
      <w:pPr>
        <w:numPr>
          <w:ilvl w:val="0"/>
          <w:numId w:val="2"/>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Identification du niveau de la priorité d’acquisition pour chaque sous-secteur en fonction de la justification</w:t>
      </w:r>
    </w:p>
    <w:p w:rsidR="00AE7DE1" w:rsidRPr="00AE7DE1" w:rsidRDefault="00AE7DE1" w:rsidP="00AE7DE1">
      <w:pPr>
        <w:keepNext/>
        <w:spacing w:before="240" w:after="60" w:line="240" w:lineRule="auto"/>
        <w:outlineLvl w:val="1"/>
        <w:rPr>
          <w:rFonts w:ascii="Arial" w:eastAsia="Times New Roman" w:hAnsi="Arial" w:cs="Arial"/>
          <w:b/>
          <w:bCs/>
          <w:iCs/>
          <w:sz w:val="24"/>
          <w:szCs w:val="24"/>
          <w:lang w:val="fr-CA" w:eastAsia="en-CA"/>
        </w:rPr>
      </w:pPr>
      <w:bookmarkStart w:id="7" w:name="_Toc470003035"/>
      <w:r w:rsidRPr="00AE7DE1">
        <w:rPr>
          <w:rFonts w:ascii="Arial" w:eastAsia="Times New Roman" w:hAnsi="Arial" w:cs="Arial"/>
          <w:b/>
          <w:bCs/>
          <w:iCs/>
          <w:sz w:val="24"/>
          <w:szCs w:val="24"/>
          <w:lang w:val="fr-CA" w:eastAsia="en-CA"/>
        </w:rPr>
        <w:t>Sous-secteurs du secteur du travail:</w:t>
      </w:r>
      <w:bookmarkEnd w:id="7"/>
    </w:p>
    <w:p w:rsidR="00AE7DE1" w:rsidRPr="00AE7DE1" w:rsidRDefault="00AE7DE1" w:rsidP="00AE7DE1">
      <w:p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Pour les besoins de l’analyse, les activités du secteur du travail ont été réparties dans les sous-secteurs suivants à l’annexe A :</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Organisations syndicales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Organisations d’employeurs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Organismes de défense des droits des travailleurs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Militants syndicaux (particuliers)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Organismes de soutien aux travailleurs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Facilitateurs/médiateurs</w:t>
      </w:r>
    </w:p>
    <w:p w:rsidR="00AE7DE1" w:rsidRPr="00AE7DE1" w:rsidRDefault="00AE7DE1" w:rsidP="00AE7DE1">
      <w:pPr>
        <w:numPr>
          <w:ilvl w:val="0"/>
          <w:numId w:val="3"/>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Organismes de santé et de sécurité des travailleurs</w:t>
      </w:r>
    </w:p>
    <w:p w:rsidR="00AE7DE1" w:rsidRPr="00AE7DE1" w:rsidRDefault="00AE7DE1" w:rsidP="00AE7DE1">
      <w:pPr>
        <w:keepNext/>
        <w:spacing w:before="240" w:after="60" w:line="240" w:lineRule="auto"/>
        <w:outlineLvl w:val="1"/>
        <w:rPr>
          <w:rFonts w:ascii="Arial" w:eastAsia="Times New Roman" w:hAnsi="Arial" w:cs="Arial"/>
          <w:b/>
          <w:bCs/>
          <w:iCs/>
          <w:sz w:val="24"/>
          <w:szCs w:val="24"/>
          <w:lang w:val="fr-CA" w:eastAsia="en-CA"/>
        </w:rPr>
      </w:pPr>
      <w:bookmarkStart w:id="8" w:name="_Toc470003036"/>
      <w:r w:rsidRPr="00AE7DE1">
        <w:rPr>
          <w:rFonts w:ascii="Arial" w:eastAsia="Times New Roman" w:hAnsi="Arial" w:cs="Arial"/>
          <w:b/>
          <w:bCs/>
          <w:iCs/>
          <w:sz w:val="24"/>
          <w:szCs w:val="24"/>
          <w:lang w:val="fr-CA" w:eastAsia="en-CA"/>
        </w:rPr>
        <w:t>Liens fonctionnels du gouvernement:</w:t>
      </w:r>
      <w:bookmarkEnd w:id="8"/>
    </w:p>
    <w:p w:rsidR="00AE7DE1" w:rsidRPr="00AE7DE1" w:rsidRDefault="00AE7DE1" w:rsidP="00AE7DE1">
      <w:pPr>
        <w:spacing w:after="0" w:line="240" w:lineRule="auto"/>
        <w:rPr>
          <w:rFonts w:ascii="Arial" w:eastAsia="Times New Roman" w:hAnsi="Arial" w:cs="Arial"/>
          <w:bCs/>
          <w:sz w:val="24"/>
          <w:szCs w:val="24"/>
          <w:lang w:val="fr-CA" w:eastAsia="en-CA"/>
        </w:rPr>
      </w:pPr>
      <w:r w:rsidRPr="00AE7DE1">
        <w:rPr>
          <w:rFonts w:ascii="Arial" w:eastAsia="Times New Roman" w:hAnsi="Arial" w:cs="Arial"/>
          <w:bCs/>
          <w:sz w:val="24"/>
          <w:szCs w:val="24"/>
          <w:lang w:val="fr-CA" w:eastAsia="en-CA"/>
        </w:rPr>
        <w:t>Les liens fonctionnels fournis dans le tableau suivant sont fondés sur les fonctions fondamentales du ministère du Travail et de la Commission des relations de travail de l’Ontario.</w:t>
      </w:r>
    </w:p>
    <w:p w:rsidR="00AE7DE1" w:rsidRPr="00AE7DE1" w:rsidRDefault="00AE7DE1" w:rsidP="00AE7DE1">
      <w:pPr>
        <w:spacing w:after="0" w:line="240" w:lineRule="auto"/>
        <w:rPr>
          <w:rFonts w:ascii="Arial" w:eastAsia="Times New Roman" w:hAnsi="Arial" w:cs="Arial"/>
          <w:sz w:val="24"/>
          <w:szCs w:val="24"/>
          <w:lang w:val="fr-CA" w:eastAsia="en-CA"/>
        </w:rPr>
      </w:pPr>
    </w:p>
    <w:p w:rsidR="00AE7DE1" w:rsidRPr="00AE7DE1" w:rsidRDefault="00AE7DE1" w:rsidP="00AE7DE1">
      <w:pPr>
        <w:numPr>
          <w:ilvl w:val="0"/>
          <w:numId w:val="11"/>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Faire respecter les droits et les responsabilités en matière d’emploi</w:t>
      </w:r>
    </w:p>
    <w:p w:rsidR="00AE7DE1" w:rsidRPr="00AE7DE1" w:rsidRDefault="00AE7DE1" w:rsidP="00AE7DE1">
      <w:pPr>
        <w:numPr>
          <w:ilvl w:val="0"/>
          <w:numId w:val="11"/>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Promouvoir la santé et la sécurité au travail</w:t>
      </w:r>
    </w:p>
    <w:p w:rsidR="00AE7DE1" w:rsidRPr="00AE7DE1" w:rsidRDefault="00AE7DE1" w:rsidP="00AE7DE1">
      <w:pPr>
        <w:numPr>
          <w:ilvl w:val="0"/>
          <w:numId w:val="11"/>
        </w:numPr>
        <w:spacing w:after="0" w:line="240" w:lineRule="auto"/>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Promouvoir et maintenir des relations de travail stables</w:t>
      </w:r>
    </w:p>
    <w:p w:rsidR="00AE7DE1" w:rsidRPr="00AE7DE1" w:rsidRDefault="00AE7DE1" w:rsidP="00AE7DE1">
      <w:pPr>
        <w:numPr>
          <w:ilvl w:val="0"/>
          <w:numId w:val="11"/>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sz w:val="24"/>
          <w:szCs w:val="24"/>
          <w:lang w:val="fr-CA" w:eastAsia="en-CA"/>
        </w:rPr>
        <w:t>Fournir du soutien à</w:t>
      </w:r>
      <w:r w:rsidRPr="00AE7DE1">
        <w:rPr>
          <w:rFonts w:ascii="Arial" w:eastAsia="Times New Roman" w:hAnsi="Arial" w:cs="Arial"/>
          <w:bCs/>
          <w:iCs/>
          <w:sz w:val="24"/>
          <w:szCs w:val="24"/>
          <w:lang w:val="fr-CA" w:eastAsia="en-CA"/>
        </w:rPr>
        <w:t xml:space="preserve"> la direction et à la gestion à la Commission</w:t>
      </w:r>
    </w:p>
    <w:p w:rsidR="00AE7DE1" w:rsidRPr="00AE7DE1" w:rsidRDefault="00AE7DE1" w:rsidP="00AE7DE1">
      <w:pPr>
        <w:numPr>
          <w:ilvl w:val="0"/>
          <w:numId w:val="11"/>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Fournir des services de médiation</w:t>
      </w:r>
    </w:p>
    <w:p w:rsidR="00AE7DE1" w:rsidRPr="00AE7DE1" w:rsidRDefault="00AE7DE1" w:rsidP="00AE7DE1">
      <w:pPr>
        <w:numPr>
          <w:ilvl w:val="0"/>
          <w:numId w:val="11"/>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Fournir des services d’arbitrage</w:t>
      </w:r>
    </w:p>
    <w:p w:rsidR="00AE7DE1" w:rsidRPr="00AE7DE1" w:rsidRDefault="00AE7DE1" w:rsidP="00AE7DE1">
      <w:pPr>
        <w:numPr>
          <w:ilvl w:val="0"/>
          <w:numId w:val="11"/>
        </w:numPr>
        <w:spacing w:after="0" w:line="240" w:lineRule="auto"/>
        <w:contextualSpacing/>
        <w:rPr>
          <w:rFonts w:ascii="Arial" w:eastAsia="Times New Roman" w:hAnsi="Arial" w:cs="Arial"/>
          <w:sz w:val="24"/>
          <w:szCs w:val="24"/>
          <w:lang w:val="fr-CA" w:eastAsia="en-CA"/>
        </w:rPr>
      </w:pPr>
      <w:r w:rsidRPr="00AE7DE1">
        <w:rPr>
          <w:rFonts w:ascii="Arial" w:eastAsia="Times New Roman" w:hAnsi="Arial" w:cs="Arial"/>
          <w:bCs/>
          <w:iCs/>
          <w:sz w:val="24"/>
          <w:szCs w:val="24"/>
          <w:lang w:val="fr-CA" w:eastAsia="en-CA"/>
        </w:rPr>
        <w:t>Examiner les décisions de la Commission</w:t>
      </w:r>
    </w:p>
    <w:p w:rsidR="00AE7DE1" w:rsidRPr="00AE7DE1" w:rsidRDefault="00AE7DE1" w:rsidP="00AE7DE1">
      <w:pPr>
        <w:spacing w:after="0" w:line="240" w:lineRule="auto"/>
        <w:rPr>
          <w:rFonts w:ascii="Arial" w:eastAsia="Times New Roman" w:hAnsi="Arial" w:cs="Arial"/>
          <w:sz w:val="40"/>
          <w:szCs w:val="40"/>
          <w:lang w:val="fr-CA" w:eastAsia="en-CA"/>
        </w:rPr>
      </w:pPr>
      <w:r w:rsidRPr="00AE7DE1">
        <w:rPr>
          <w:rFonts w:ascii="Arial" w:eastAsia="Times New Roman" w:hAnsi="Arial" w:cs="Arial"/>
          <w:sz w:val="40"/>
          <w:szCs w:val="40"/>
          <w:lang w:val="fr-CA" w:eastAsia="en-CA"/>
        </w:rPr>
        <w:br w:type="page"/>
      </w:r>
    </w:p>
    <w:p w:rsidR="00AE7DE1" w:rsidRPr="00AE7DE1" w:rsidRDefault="00AE7DE1" w:rsidP="00AE7DE1">
      <w:pPr>
        <w:pStyle w:val="Heading1"/>
      </w:pPr>
      <w:bookmarkStart w:id="9" w:name="_Toc470003037"/>
      <w:r w:rsidRPr="00AE7DE1">
        <w:lastRenderedPageBreak/>
        <w:t>Annexe A</w:t>
      </w:r>
      <w:bookmarkStart w:id="10" w:name="_GoBack"/>
      <w:bookmarkEnd w:id="10"/>
      <w:r w:rsidRPr="00AE7DE1">
        <w:t>: Analyse des sous-secteurs du travail</w:t>
      </w:r>
      <w:bookmarkEnd w:id="9"/>
    </w:p>
    <w:p w:rsidR="00AE7DE1" w:rsidRPr="00AE7DE1" w:rsidRDefault="00AE7DE1" w:rsidP="00AE7DE1">
      <w:pPr>
        <w:spacing w:after="0" w:line="240" w:lineRule="auto"/>
        <w:rPr>
          <w:rFonts w:ascii="Arial" w:eastAsia="Times New Roman" w:hAnsi="Arial" w:cs="Arial"/>
          <w:b/>
          <w:sz w:val="40"/>
          <w:szCs w:val="40"/>
          <w:lang w:val="fr-CA" w:eastAsia="en-CA"/>
        </w:rPr>
      </w:pPr>
    </w:p>
    <w:p w:rsidR="00AE7DE1" w:rsidRPr="00AE7DE1" w:rsidRDefault="00AE7DE1" w:rsidP="00AE7DE1">
      <w:pPr>
        <w:spacing w:after="0" w:line="240" w:lineRule="auto"/>
        <w:rPr>
          <w:rFonts w:ascii="Arial" w:eastAsia="Times New Roman" w:hAnsi="Arial" w:cs="Arial"/>
          <w:b/>
          <w:color w:val="808080"/>
          <w:sz w:val="24"/>
          <w:szCs w:val="24"/>
          <w:lang w:val="fr-CA" w:eastAsia="en-CA"/>
        </w:rPr>
        <w:sectPr w:rsidR="00AE7DE1" w:rsidRPr="00AE7DE1" w:rsidSect="002C78C5">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2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2333"/>
        <w:gridCol w:w="2302"/>
        <w:gridCol w:w="1893"/>
        <w:gridCol w:w="2305"/>
        <w:gridCol w:w="1989"/>
        <w:gridCol w:w="2191"/>
      </w:tblGrid>
      <w:tr w:rsidR="00AE7DE1" w:rsidRPr="00AE7DE1" w:rsidTr="003041CC">
        <w:trPr>
          <w:cantSplit/>
          <w:tblHeader/>
        </w:trPr>
        <w:tc>
          <w:tcPr>
            <w:tcW w:w="1603"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lastRenderedPageBreak/>
              <w:t>Sous-secteur</w:t>
            </w:r>
          </w:p>
        </w:tc>
        <w:tc>
          <w:tcPr>
            <w:tcW w:w="2333"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Description du sous-secteur</w:t>
            </w:r>
          </w:p>
        </w:tc>
        <w:tc>
          <w:tcPr>
            <w:tcW w:w="2302"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Fonction connexe du gouvernement et ministère de l’Ontario responsable</w:t>
            </w:r>
          </w:p>
        </w:tc>
        <w:tc>
          <w:tcPr>
            <w:tcW w:w="1893"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Collections privées connexes des Archives publiques de l’Ontario (contenant des documents pour la période ultérieure à 1980)</w:t>
            </w:r>
          </w:p>
        </w:tc>
        <w:tc>
          <w:tcPr>
            <w:tcW w:w="2305"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Justification raisonnée des sous-secteurs</w:t>
            </w:r>
          </w:p>
        </w:tc>
        <w:tc>
          <w:tcPr>
            <w:tcW w:w="1989"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Considérations relatives aux acquisitions</w:t>
            </w:r>
          </w:p>
        </w:tc>
        <w:tc>
          <w:tcPr>
            <w:tcW w:w="2191" w:type="dxa"/>
            <w:shd w:val="clear" w:color="auto" w:fill="auto"/>
          </w:tcPr>
          <w:p w:rsidR="00AE7DE1" w:rsidRPr="00AE7DE1" w:rsidRDefault="00AE7DE1" w:rsidP="00AE7DE1">
            <w:pPr>
              <w:spacing w:after="0" w:line="240" w:lineRule="auto"/>
              <w:rPr>
                <w:rFonts w:ascii="Arial" w:eastAsia="Times New Roman" w:hAnsi="Arial" w:cs="Arial"/>
                <w:b/>
                <w:bCs/>
                <w:sz w:val="20"/>
                <w:szCs w:val="20"/>
                <w:lang w:val="fr-CA" w:eastAsia="en-CA"/>
              </w:rPr>
            </w:pPr>
            <w:r w:rsidRPr="00AE7DE1">
              <w:rPr>
                <w:rFonts w:ascii="Arial" w:eastAsia="Times New Roman" w:hAnsi="Arial" w:cs="Arial"/>
                <w:b/>
                <w:bCs/>
                <w:sz w:val="20"/>
                <w:szCs w:val="20"/>
                <w:lang w:val="fr-CA" w:eastAsia="en-CA"/>
              </w:rPr>
              <w:t>Priorité :</w:t>
            </w:r>
            <w:r w:rsidRPr="00AE7DE1">
              <w:rPr>
                <w:rFonts w:ascii="Arial" w:eastAsia="Times New Roman" w:hAnsi="Arial" w:cs="Arial"/>
                <w:b/>
                <w:bCs/>
                <w:sz w:val="20"/>
                <w:szCs w:val="20"/>
                <w:lang w:val="fr-CA" w:eastAsia="en-CA"/>
              </w:rPr>
              <w:br/>
              <w:t>Élevée</w:t>
            </w:r>
            <w:r w:rsidRPr="00AE7DE1">
              <w:rPr>
                <w:rFonts w:ascii="Arial" w:eastAsia="Times New Roman" w:hAnsi="Arial" w:cs="Arial"/>
                <w:sz w:val="20"/>
                <w:szCs w:val="20"/>
                <w:lang w:val="fr-CA" w:eastAsia="en-CA"/>
              </w:rPr>
              <w:t xml:space="preserve"> (les APO ont très peu de documents, voire aucun) </w:t>
            </w:r>
            <w:r w:rsidRPr="00AE7DE1">
              <w:rPr>
                <w:rFonts w:ascii="Arial" w:eastAsia="Times New Roman" w:hAnsi="Arial" w:cs="Arial"/>
                <w:sz w:val="20"/>
                <w:szCs w:val="20"/>
                <w:lang w:val="fr-CA" w:eastAsia="en-CA"/>
              </w:rPr>
              <w:br/>
            </w:r>
            <w:r w:rsidRPr="00AE7DE1">
              <w:rPr>
                <w:rFonts w:ascii="Arial" w:eastAsia="Times New Roman" w:hAnsi="Arial" w:cs="Arial"/>
                <w:b/>
                <w:bCs/>
                <w:sz w:val="20"/>
                <w:szCs w:val="20"/>
                <w:lang w:val="fr-CA" w:eastAsia="en-CA"/>
              </w:rPr>
              <w:t xml:space="preserve">Moyenne </w:t>
            </w:r>
            <w:r w:rsidRPr="00AE7DE1">
              <w:rPr>
                <w:rFonts w:ascii="Arial" w:eastAsia="Times New Roman" w:hAnsi="Arial" w:cs="Arial"/>
                <w:sz w:val="20"/>
                <w:szCs w:val="20"/>
                <w:lang w:val="fr-CA" w:eastAsia="en-CA"/>
              </w:rPr>
              <w:t xml:space="preserve">(les APO ont un peu de documents) </w:t>
            </w:r>
            <w:r w:rsidRPr="00AE7DE1">
              <w:rPr>
                <w:rFonts w:ascii="Arial" w:eastAsia="Times New Roman" w:hAnsi="Arial" w:cs="Arial"/>
                <w:sz w:val="20"/>
                <w:szCs w:val="20"/>
                <w:lang w:val="fr-CA" w:eastAsia="en-CA"/>
              </w:rPr>
              <w:br/>
            </w:r>
            <w:r w:rsidRPr="00AE7DE1">
              <w:rPr>
                <w:rFonts w:ascii="Arial" w:eastAsia="Times New Roman" w:hAnsi="Arial" w:cs="Arial"/>
                <w:b/>
                <w:bCs/>
                <w:sz w:val="20"/>
                <w:szCs w:val="20"/>
                <w:lang w:val="fr-CA" w:eastAsia="en-CA"/>
              </w:rPr>
              <w:t xml:space="preserve">Faible </w:t>
            </w:r>
            <w:r w:rsidRPr="00AE7DE1">
              <w:rPr>
                <w:rFonts w:ascii="Arial" w:eastAsia="Times New Roman" w:hAnsi="Arial" w:cs="Arial"/>
                <w:sz w:val="20"/>
                <w:szCs w:val="20"/>
                <w:lang w:val="fr-CA" w:eastAsia="en-CA"/>
              </w:rPr>
              <w:t>(les APO ont beaucoup de documents)</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Organisations syndicales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des organisations collectives de travailleurs dont les objectifs comprennent le respect et la préservation des droits des travailleurs membres, de meilleures conditions de travail, des normes de sécurité plus sévères et une rémunération et des avantages sociaux équitables. Les organisations peuvent comprendre des entités provinciales indépendantes ou des divisions ou des sections provinciales de ces organisations nationales.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Faire respecter les droits et les responsabilités en matière d’emploi (ministère du Travail)</w:t>
            </w:r>
          </w:p>
          <w:p w:rsidR="00AE7DE1" w:rsidRPr="00AE7DE1" w:rsidRDefault="00AE7DE1" w:rsidP="00AE7DE1">
            <w:pPr>
              <w:spacing w:after="0" w:line="240" w:lineRule="auto"/>
              <w:rPr>
                <w:rFonts w:ascii="Arial" w:eastAsia="Times New Roman" w:hAnsi="Arial" w:cs="Arial"/>
                <w:sz w:val="20"/>
                <w:szCs w:val="20"/>
                <w:lang w:val="fr-CA" w:eastAsia="en-CA"/>
              </w:rPr>
            </w:pPr>
          </w:p>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Promouvoir et maintenir des relations de travail stables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 4180 Fonds de la Fédération du travail de l’Ontario</w:t>
            </w:r>
          </w:p>
          <w:p w:rsidR="00AE7DE1" w:rsidRPr="00AE7DE1" w:rsidRDefault="00AE7DE1" w:rsidP="00AE7DE1">
            <w:pPr>
              <w:spacing w:after="0" w:line="240" w:lineRule="auto"/>
              <w:rPr>
                <w:rFonts w:ascii="Arial" w:eastAsia="Times New Roman" w:hAnsi="Arial" w:cs="Arial"/>
                <w:sz w:val="20"/>
                <w:szCs w:val="20"/>
                <w:lang w:val="fr-CA"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1289 Fonds SCFP Ontario</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2185 Fonds TCA-Canada (Local 399)</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1286 Fonds TCA-Canada (Local 439)</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1287 Fonds International Union, United Automobile, Aerospace and Agricultural Implement Workers of America (Local 584)</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organisations documenteraient les politiques, les programmes et les manifestations d’importance liés au travail en Ontario.</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ont cinq collections liées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MOYENNE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lastRenderedPageBreak/>
              <w:t>Organisations d’employeurs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des organisations collectives de fabricants, de détaillants ou d’autres employeurs de travailleurs salariés qui cherchent à coordonner les actions de leurs entreprises membres au cours des négociations avec les syndicats ou les organismes gouvernementaux. Les organisations peuvent comprendre des entités provinciales indépendantes ou des divisions ou des sections provinciales de ces organisations nationales.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Promouvoir et maintenir des relations de travail stables (ministère du Travail)</w:t>
            </w:r>
          </w:p>
          <w:p w:rsidR="00AE7DE1" w:rsidRPr="00AE7DE1" w:rsidRDefault="00AE7DE1" w:rsidP="00AE7DE1">
            <w:pPr>
              <w:spacing w:after="0" w:line="240" w:lineRule="auto"/>
              <w:rPr>
                <w:rFonts w:ascii="Arial" w:eastAsia="Times New Roman" w:hAnsi="Arial" w:cs="Arial"/>
                <w:sz w:val="20"/>
                <w:szCs w:val="20"/>
                <w:lang w:val="fr-CA" w:eastAsia="en-CA"/>
              </w:rPr>
            </w:pPr>
          </w:p>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Faire respecter les droits et les responsabilités en matière d’emploi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Aucune collection connexe</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des organisations de ce sous-secteur documenteraient les politiques, les programmes, les manifestations et les conflits liés au travail du point de vue des employeurs de l’Ontario.</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ÉLEVÉE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lastRenderedPageBreak/>
              <w:t>Organismes de défense des droits des travailleurs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des organismes qui défendent les droits des travailleurs qui ne sont pas couverts par des conventions collectives et qui travaillent à promouvoir et à protéger le droit du travail et le droit en matière d’emploi au nom des travailleurs de l’Ontario. Parmi les exemples, notons les organismes de défense des droits juridiques qui engagent des procédures judiciaires pour faire respecter les lois du travail, ainsi que les organismes de défense des droits de la personne qui dénoncent les violations des droits des travailleurs.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Faire respecter les droits et les responsabilités en matière d’emploi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Aucune collection connexe</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organismes documentent les développements et les changements dans les pratiques d’emploi en Ontario, ainsi que les droits et les obligations des travailleurs et des employeurs de la province. Ce sous-secteur documente également le parcours des travailleurs vulnérables de l’Ontario, comme les travailleurs migrants.</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ÉLEVÉE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lastRenderedPageBreak/>
              <w:t>Militants syndicaux (particuliers)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différents militants des droits des travailleurs, tels que les syndicalistes de premier plan ou ceux qui travaillent en parallèle avec les syndicats.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Faire respecter les droits et les responsabilités en matière d’emploi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4609 Fonds Harvey Landon Ladd</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2190 Fonds D’Arcy Martin</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2157 Fonds Leith McMurray</w:t>
            </w:r>
          </w:p>
          <w:p w:rsidR="00AE7DE1" w:rsidRPr="00AE7DE1" w:rsidRDefault="00AE7DE1" w:rsidP="00AE7DE1">
            <w:pPr>
              <w:spacing w:after="0" w:line="240" w:lineRule="auto"/>
              <w:rPr>
                <w:rFonts w:ascii="Arial" w:eastAsia="Times New Roman" w:hAnsi="Arial" w:cs="Arial"/>
                <w:sz w:val="20"/>
                <w:szCs w:val="20"/>
                <w:lang w:eastAsia="en-CA"/>
              </w:rPr>
            </w:pPr>
          </w:p>
          <w:p w:rsidR="00AE7DE1" w:rsidRPr="00AE7DE1" w:rsidRDefault="00AE7DE1" w:rsidP="00AE7DE1">
            <w:pPr>
              <w:spacing w:after="0" w:line="240" w:lineRule="auto"/>
              <w:rPr>
                <w:rFonts w:ascii="Arial" w:eastAsia="Times New Roman" w:hAnsi="Arial" w:cs="Arial"/>
                <w:sz w:val="20"/>
                <w:szCs w:val="20"/>
                <w:lang w:eastAsia="en-CA"/>
              </w:rPr>
            </w:pPr>
            <w:r w:rsidRPr="00AE7DE1">
              <w:rPr>
                <w:rFonts w:ascii="Arial" w:eastAsia="Times New Roman" w:hAnsi="Arial" w:cs="Arial"/>
                <w:sz w:val="20"/>
                <w:szCs w:val="20"/>
                <w:lang w:eastAsia="en-CA"/>
              </w:rPr>
              <w:t>F 2076 Fonds Alvin D. McCurdy</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particuliers documenteraient leurs importantes contributions dans les domaines des relations de travail, des droits des travailleurs ou de la santé et de la sécurité au travail.</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ont quatre collections liées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MOYENNE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Organismes de soutien aux travailleurs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les institutions qui offrent du soutien directement aux travailleurs en conflit avec les employeurs, telles que celles qui offrent un soutien juridique aux travailleurs individuels.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Faire respecter les droits et les responsabilités en matière d’emploi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Aucune collection connexe</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organismes documenteraient les points de friction entre les travailleurs et les employeurs et dresseraient un portrait de la façon dont la politique du travail permet de soutenir les droits et les responsabilités en matière d’emploi.</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ÉLEVÉE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lastRenderedPageBreak/>
              <w:t>Facilitateurs /médiateurs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des organismes qui interviennent entre les parties prenantes (par exemple, les syndicats, les employeurs, le gouvernement) pour maintenir des relations de travail stables.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Promouvoir et maintenir des relations de travail stables (ministère du Travail)</w:t>
            </w:r>
          </w:p>
          <w:p w:rsidR="00AE7DE1" w:rsidRPr="00AE7DE1" w:rsidRDefault="00AE7DE1" w:rsidP="00AE7DE1">
            <w:pPr>
              <w:spacing w:after="0" w:line="240" w:lineRule="auto"/>
              <w:rPr>
                <w:rFonts w:ascii="Arial" w:eastAsia="Times New Roman" w:hAnsi="Arial" w:cs="Arial"/>
                <w:sz w:val="20"/>
                <w:szCs w:val="20"/>
                <w:lang w:val="fr-CA" w:eastAsia="en-CA"/>
              </w:rPr>
            </w:pPr>
          </w:p>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Fournir des services de médiation (Commission des relations de travail de l’Ontario)</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Aucune collection connexe</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organismes documentent la promotion des relations de travail stables qui sont essentielles à la santé économique de la province.</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ÉLEVÉE</w:t>
            </w:r>
          </w:p>
        </w:tc>
      </w:tr>
      <w:tr w:rsidR="00AE7DE1" w:rsidRPr="00AE7DE1" w:rsidTr="003041CC">
        <w:trPr>
          <w:cantSplit/>
        </w:trPr>
        <w:tc>
          <w:tcPr>
            <w:tcW w:w="160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Organismes de santé et de sécurité des travailleurs</w:t>
            </w:r>
          </w:p>
        </w:tc>
        <w:tc>
          <w:tcPr>
            <w:tcW w:w="233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Ce sous-secteur comprend des organismes qui offrent de la formation ou de l’information, ou qui effectuent des recherches afin d’améliorer la santé et la sécurité des travailleurs.</w:t>
            </w:r>
          </w:p>
        </w:tc>
        <w:tc>
          <w:tcPr>
            <w:tcW w:w="2302"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Promouvoir la santé et la sécurité au travail (ministère du Travail)</w:t>
            </w:r>
          </w:p>
        </w:tc>
        <w:tc>
          <w:tcPr>
            <w:tcW w:w="1893"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Aucune collection connexe</w:t>
            </w:r>
          </w:p>
        </w:tc>
        <w:tc>
          <w:tcPr>
            <w:tcW w:w="2305"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documents de ces organismes documentent la mise en œuvre des politiques et des normes relatives à la santé et à la sécurité au travail dans la province.</w:t>
            </w:r>
          </w:p>
        </w:tc>
        <w:tc>
          <w:tcPr>
            <w:tcW w:w="1989"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Les Archives publiques de l’Ontario n’ont aucune collection liée à ce sous-secteur pour la période ultérieure à 1980.</w:t>
            </w:r>
          </w:p>
        </w:tc>
        <w:tc>
          <w:tcPr>
            <w:tcW w:w="2191" w:type="dxa"/>
            <w:shd w:val="clear" w:color="auto" w:fill="auto"/>
          </w:tcPr>
          <w:p w:rsidR="00AE7DE1" w:rsidRPr="00AE7DE1" w:rsidRDefault="00AE7DE1" w:rsidP="00AE7DE1">
            <w:pPr>
              <w:spacing w:after="0" w:line="240" w:lineRule="auto"/>
              <w:rPr>
                <w:rFonts w:ascii="Arial" w:eastAsia="Times New Roman" w:hAnsi="Arial" w:cs="Arial"/>
                <w:sz w:val="20"/>
                <w:szCs w:val="20"/>
                <w:lang w:val="fr-CA" w:eastAsia="en-CA"/>
              </w:rPr>
            </w:pPr>
            <w:r w:rsidRPr="00AE7DE1">
              <w:rPr>
                <w:rFonts w:ascii="Arial" w:eastAsia="Times New Roman" w:hAnsi="Arial" w:cs="Arial"/>
                <w:sz w:val="20"/>
                <w:szCs w:val="20"/>
                <w:lang w:val="fr-CA" w:eastAsia="en-CA"/>
              </w:rPr>
              <w:t>PRIORITÉ ÉLEVÉE</w:t>
            </w:r>
          </w:p>
        </w:tc>
      </w:tr>
    </w:tbl>
    <w:p w:rsidR="00AE7DE1" w:rsidRPr="00AE7DE1" w:rsidRDefault="00AE7DE1" w:rsidP="00AE7DE1">
      <w:pPr>
        <w:spacing w:after="0" w:line="240" w:lineRule="auto"/>
        <w:rPr>
          <w:rFonts w:ascii="Arial" w:eastAsia="Times New Roman" w:hAnsi="Arial" w:cs="Arial"/>
          <w:sz w:val="24"/>
          <w:szCs w:val="24"/>
          <w:lang w:val="fr-CA" w:eastAsia="en-CA"/>
        </w:rPr>
      </w:pPr>
    </w:p>
    <w:p w:rsidR="00250FC9" w:rsidRDefault="00AE7DE1"/>
    <w:sectPr w:rsidR="00250FC9" w:rsidSect="001C4E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E1" w:rsidRDefault="00AE7DE1" w:rsidP="00AE7DE1">
      <w:pPr>
        <w:spacing w:after="0" w:line="240" w:lineRule="auto"/>
      </w:pPr>
      <w:r>
        <w:separator/>
      </w:r>
    </w:p>
  </w:endnote>
  <w:endnote w:type="continuationSeparator" w:id="0">
    <w:p w:rsidR="00AE7DE1" w:rsidRDefault="00AE7DE1" w:rsidP="00AE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Default="00AE7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Pr="00225300" w:rsidRDefault="00AE7DE1" w:rsidP="005B143A">
    <w:pPr>
      <w:pStyle w:val="Footer"/>
      <w:rPr>
        <w:lang w:val="fr-CA"/>
      </w:rPr>
    </w:pPr>
    <w:r w:rsidRPr="00976943">
      <w:rPr>
        <w:rFonts w:ascii="Arial" w:hAnsi="Arial" w:cs="Arial"/>
        <w:sz w:val="20"/>
        <w:szCs w:val="20"/>
        <w:lang w:val="fr-CA"/>
      </w:rPr>
      <w:t>Rapport d’analyse du secteur</w:t>
    </w:r>
    <w:r>
      <w:rPr>
        <w:rFonts w:ascii="Arial" w:hAnsi="Arial" w:cs="Arial"/>
        <w:sz w:val="20"/>
        <w:szCs w:val="20"/>
        <w:lang w:val="fr-CA"/>
      </w:rPr>
      <w:t xml:space="preserve"> du travail en </w:t>
    </w:r>
    <w:r w:rsidRPr="00225300">
      <w:rPr>
        <w:rFonts w:ascii="Arial" w:hAnsi="Arial" w:cs="Arial"/>
        <w:sz w:val="20"/>
        <w:szCs w:val="20"/>
        <w:lang w:val="fr-CA"/>
      </w:rPr>
      <w:t>Ontario</w:t>
    </w:r>
    <w:r w:rsidRPr="00225300">
      <w:rPr>
        <w:lang w:val="fr-CA"/>
      </w:rPr>
      <w:tab/>
    </w:r>
    <w:r w:rsidRPr="00225300">
      <w:rPr>
        <w:rFonts w:ascii="Arial" w:hAnsi="Arial" w:cs="Arial"/>
        <w:sz w:val="20"/>
        <w:szCs w:val="20"/>
        <w:lang w:val="fr-CA"/>
      </w:rPr>
      <w:t>Page</w:t>
    </w:r>
    <w:r>
      <w:rPr>
        <w:rFonts w:ascii="Arial" w:hAnsi="Arial" w:cs="Arial"/>
        <w:sz w:val="20"/>
        <w:szCs w:val="20"/>
        <w:lang w:val="fr-CA"/>
      </w:rPr>
      <w:t> </w:t>
    </w:r>
    <w:r w:rsidRPr="0006122E">
      <w:rPr>
        <w:rFonts w:ascii="Arial" w:hAnsi="Arial" w:cs="Arial"/>
        <w:sz w:val="20"/>
        <w:szCs w:val="20"/>
      </w:rPr>
      <w:fldChar w:fldCharType="begin"/>
    </w:r>
    <w:r w:rsidRPr="00225300">
      <w:rPr>
        <w:rFonts w:ascii="Arial" w:hAnsi="Arial" w:cs="Arial"/>
        <w:sz w:val="20"/>
        <w:szCs w:val="20"/>
        <w:lang w:val="fr-CA"/>
      </w:rPr>
      <w:instrText xml:space="preserve"> PAGE  \* Arabic  \* MERGEFORMAT </w:instrText>
    </w:r>
    <w:r w:rsidRPr="0006122E">
      <w:rPr>
        <w:rFonts w:ascii="Arial" w:hAnsi="Arial" w:cs="Arial"/>
        <w:sz w:val="20"/>
        <w:szCs w:val="20"/>
      </w:rPr>
      <w:fldChar w:fldCharType="separate"/>
    </w:r>
    <w:r>
      <w:rPr>
        <w:rFonts w:ascii="Arial" w:hAnsi="Arial" w:cs="Arial"/>
        <w:noProof/>
        <w:sz w:val="20"/>
        <w:szCs w:val="20"/>
        <w:lang w:val="fr-CA"/>
      </w:rPr>
      <w:t>9</w:t>
    </w:r>
    <w:r w:rsidRPr="0006122E">
      <w:rPr>
        <w:rFonts w:ascii="Arial" w:hAnsi="Arial" w:cs="Arial"/>
        <w:sz w:val="20"/>
        <w:szCs w:val="20"/>
      </w:rPr>
      <w:fldChar w:fldCharType="end"/>
    </w:r>
    <w:r w:rsidRPr="00225300">
      <w:rPr>
        <w:rFonts w:ascii="Arial" w:hAnsi="Arial" w:cs="Arial"/>
        <w:sz w:val="20"/>
        <w:szCs w:val="20"/>
        <w:lang w:val="fr-CA"/>
      </w:rPr>
      <w:t xml:space="preserve"> </w:t>
    </w:r>
    <w:r>
      <w:rPr>
        <w:rFonts w:ascii="Arial" w:hAnsi="Arial" w:cs="Arial"/>
        <w:sz w:val="20"/>
        <w:szCs w:val="20"/>
        <w:lang w:val="fr-CA"/>
      </w:rPr>
      <w:t>de</w:t>
    </w:r>
    <w:r w:rsidRPr="00225300">
      <w:rPr>
        <w:rFonts w:ascii="Arial" w:hAnsi="Arial" w:cs="Arial"/>
        <w:sz w:val="20"/>
        <w:szCs w:val="20"/>
        <w:lang w:val="fr-CA"/>
      </w:rPr>
      <w:t xml:space="preserve"> </w:t>
    </w:r>
    <w:r w:rsidRPr="0006122E">
      <w:rPr>
        <w:rFonts w:ascii="Arial" w:hAnsi="Arial" w:cs="Arial"/>
        <w:sz w:val="20"/>
        <w:szCs w:val="20"/>
      </w:rPr>
      <w:fldChar w:fldCharType="begin"/>
    </w:r>
    <w:r w:rsidRPr="00225300">
      <w:rPr>
        <w:rFonts w:ascii="Arial" w:hAnsi="Arial" w:cs="Arial"/>
        <w:sz w:val="20"/>
        <w:szCs w:val="20"/>
        <w:lang w:val="fr-CA"/>
      </w:rPr>
      <w:instrText xml:space="preserve"> NUMPAGES  \* Arabic  \* MERGEFORMAT </w:instrText>
    </w:r>
    <w:r w:rsidRPr="0006122E">
      <w:rPr>
        <w:rFonts w:ascii="Arial" w:hAnsi="Arial" w:cs="Arial"/>
        <w:sz w:val="20"/>
        <w:szCs w:val="20"/>
      </w:rPr>
      <w:fldChar w:fldCharType="separate"/>
    </w:r>
    <w:r>
      <w:rPr>
        <w:rFonts w:ascii="Arial" w:hAnsi="Arial" w:cs="Arial"/>
        <w:noProof/>
        <w:sz w:val="20"/>
        <w:szCs w:val="20"/>
        <w:lang w:val="fr-CA"/>
      </w:rPr>
      <w:t>15</w:t>
    </w:r>
    <w:r w:rsidRPr="0006122E">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Default="00AE7DE1">
    <w:pPr>
      <w:pStyle w:val="Footer"/>
    </w:pPr>
    <w:r>
      <w:rPr>
        <w:rFonts w:ascii="Arial" w:hAnsi="Arial"/>
        <w:noProof/>
        <w:sz w:val="12"/>
      </w:rPr>
      <w:drawing>
        <wp:inline distT="0" distB="0" distL="0" distR="0">
          <wp:extent cx="3314700" cy="571500"/>
          <wp:effectExtent l="0" t="0" r="0" b="0"/>
          <wp:docPr id="1" name="Picture 1" descr="AO Logo - 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 Logo - 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E1" w:rsidRDefault="00AE7DE1" w:rsidP="00AE7DE1">
      <w:pPr>
        <w:spacing w:after="0" w:line="240" w:lineRule="auto"/>
      </w:pPr>
      <w:r>
        <w:separator/>
      </w:r>
    </w:p>
  </w:footnote>
  <w:footnote w:type="continuationSeparator" w:id="0">
    <w:p w:rsidR="00AE7DE1" w:rsidRDefault="00AE7DE1" w:rsidP="00AE7DE1">
      <w:pPr>
        <w:spacing w:after="0" w:line="240" w:lineRule="auto"/>
      </w:pPr>
      <w:r>
        <w:continuationSeparator/>
      </w:r>
    </w:p>
  </w:footnote>
  <w:footnote w:id="1">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rPr>
        <w:t xml:space="preserve">  Ontario Federation of Labour. History. </w:t>
      </w:r>
      <w:r w:rsidRPr="00BD6582">
        <w:rPr>
          <w:rFonts w:ascii="Arial" w:hAnsi="Arial" w:cs="Arial"/>
          <w:lang w:val="fr-CA"/>
        </w:rPr>
        <w:t>12 juin 2012 (consulté le 3 juillet 2015) http://ofl.ca/index.php/about/history/.</w:t>
      </w:r>
    </w:p>
  </w:footnote>
  <w:footnote w:id="2">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rPr>
        <w:t xml:space="preserve"> Phillips, Pattie. </w:t>
      </w:r>
      <w:r w:rsidRPr="00BD6582">
        <w:rPr>
          <w:rFonts w:ascii="Arial" w:hAnsi="Arial" w:cs="Arial"/>
          <w:i/>
        </w:rPr>
        <w:t>Highlights in Canadian Labour History</w:t>
      </w:r>
      <w:r w:rsidRPr="00BD6582">
        <w:rPr>
          <w:rFonts w:ascii="Arial" w:hAnsi="Arial" w:cs="Arial"/>
        </w:rPr>
        <w:t xml:space="preserve">. </w:t>
      </w:r>
      <w:r w:rsidRPr="00BD6582">
        <w:rPr>
          <w:rFonts w:ascii="Arial" w:hAnsi="Arial" w:cs="Arial"/>
          <w:lang w:val="fr-CA"/>
        </w:rPr>
        <w:t xml:space="preserve">CBCnews. 4 septembre 2009 (consulté le 3 juillet 2015) http://www.cbc.ca/news/canada/highlights-in-canadian-labour-history-1.850282. </w:t>
      </w:r>
    </w:p>
  </w:footnote>
  <w:footnote w:id="3">
    <w:p w:rsidR="00AE7DE1" w:rsidRPr="008927CD" w:rsidRDefault="00AE7DE1" w:rsidP="00AE7DE1">
      <w:pPr>
        <w:pStyle w:val="FootnoteText"/>
        <w:rPr>
          <w:rFonts w:ascii="Arial" w:hAnsi="Arial" w:cs="Arial"/>
          <w:highlight w:val="yellow"/>
          <w:lang w:val="fr-CA"/>
        </w:rPr>
      </w:pPr>
      <w:r w:rsidRPr="00BD6582">
        <w:rPr>
          <w:rStyle w:val="FootnoteReference"/>
          <w:rFonts w:ascii="Arial" w:hAnsi="Arial" w:cs="Arial"/>
          <w:lang w:val="fr-CA"/>
        </w:rPr>
        <w:footnoteRef/>
      </w:r>
      <w:r w:rsidRPr="00BD6582">
        <w:rPr>
          <w:rFonts w:ascii="Arial" w:hAnsi="Arial" w:cs="Arial"/>
          <w:lang w:val="fr-CA"/>
        </w:rPr>
        <w:t xml:space="preserve"> L’encyclopédie canadienne. </w:t>
      </w:r>
      <w:r w:rsidRPr="00BD6582">
        <w:rPr>
          <w:rFonts w:ascii="Arial" w:hAnsi="Arial" w:cs="Arial"/>
          <w:i/>
          <w:lang w:val="fr-CA"/>
        </w:rPr>
        <w:t>Histoire des travailleurs</w:t>
      </w:r>
      <w:r w:rsidRPr="00BD6582">
        <w:rPr>
          <w:rFonts w:ascii="Arial" w:hAnsi="Arial" w:cs="Arial"/>
          <w:lang w:val="fr-CA"/>
        </w:rPr>
        <w:t>. (consulté le 3 juillet 2015) http://encyclopediecanadienne.ca/fr/article/histoire-des-travailleurs/</w:t>
      </w:r>
    </w:p>
  </w:footnote>
  <w:footnote w:id="4">
    <w:p w:rsidR="00AE7DE1" w:rsidRPr="00B05C6B" w:rsidRDefault="00AE7DE1" w:rsidP="00AE7DE1">
      <w:pPr>
        <w:pStyle w:val="FootnoteText"/>
        <w:rPr>
          <w:rFonts w:ascii="Arial" w:hAnsi="Arial" w:cs="Arial"/>
          <w:lang w:val="fr-CA"/>
        </w:rPr>
      </w:pPr>
      <w:r w:rsidRPr="00B05C6B">
        <w:rPr>
          <w:rStyle w:val="FootnoteReference"/>
          <w:rFonts w:ascii="Arial" w:hAnsi="Arial" w:cs="Arial"/>
          <w:lang w:val="fr-CA"/>
        </w:rPr>
        <w:footnoteRef/>
      </w:r>
      <w:r w:rsidRPr="00B05C6B">
        <w:rPr>
          <w:rFonts w:ascii="Arial" w:hAnsi="Arial" w:cs="Arial"/>
        </w:rPr>
        <w:t xml:space="preserve"> Phillips, Pattie. </w:t>
      </w:r>
      <w:r w:rsidRPr="00B05C6B">
        <w:rPr>
          <w:rFonts w:ascii="Arial" w:hAnsi="Arial" w:cs="Arial"/>
          <w:i/>
        </w:rPr>
        <w:t>Highlights in Canadian Labour History</w:t>
      </w:r>
      <w:r w:rsidRPr="00B05C6B">
        <w:rPr>
          <w:rFonts w:ascii="Arial" w:hAnsi="Arial" w:cs="Arial"/>
        </w:rPr>
        <w:t xml:space="preserve">. </w:t>
      </w:r>
      <w:r w:rsidRPr="00B05C6B">
        <w:rPr>
          <w:rFonts w:ascii="Arial" w:hAnsi="Arial" w:cs="Arial"/>
          <w:lang w:val="fr-CA"/>
        </w:rPr>
        <w:t>CBCnews. 4 septembre 2009 (consulté le 3 juillet 2015) http://www.cbc.ca/news/canada/highlights-in-canadian-labour-history-1.850282</w:t>
      </w:r>
    </w:p>
  </w:footnote>
  <w:footnote w:id="5">
    <w:p w:rsidR="00AE7DE1" w:rsidRPr="00B05C6B" w:rsidRDefault="00AE7DE1" w:rsidP="00AE7DE1">
      <w:pPr>
        <w:pStyle w:val="FootnoteText"/>
        <w:rPr>
          <w:rFonts w:ascii="Arial" w:hAnsi="Arial" w:cs="Arial"/>
          <w:lang w:val="fr-CA"/>
        </w:rPr>
      </w:pPr>
      <w:r w:rsidRPr="00B05C6B">
        <w:rPr>
          <w:rStyle w:val="FootnoteReference"/>
          <w:rFonts w:ascii="Arial" w:hAnsi="Arial" w:cs="Arial"/>
          <w:lang w:val="fr-CA"/>
        </w:rPr>
        <w:footnoteRef/>
      </w:r>
      <w:r w:rsidRPr="00B05C6B">
        <w:rPr>
          <w:rFonts w:ascii="Arial" w:hAnsi="Arial" w:cs="Arial"/>
          <w:lang w:val="fr-CA"/>
        </w:rPr>
        <w:t xml:space="preserve"> L’encyclopédie canadienne. </w:t>
      </w:r>
      <w:r w:rsidRPr="00B05C6B">
        <w:rPr>
          <w:rFonts w:ascii="Arial" w:hAnsi="Arial" w:cs="Arial"/>
          <w:i/>
          <w:lang w:val="fr-CA"/>
        </w:rPr>
        <w:t>Histoire des travailleurs</w:t>
      </w:r>
      <w:r w:rsidRPr="00B05C6B">
        <w:rPr>
          <w:rFonts w:ascii="Arial" w:hAnsi="Arial" w:cs="Arial"/>
          <w:lang w:val="fr-CA"/>
        </w:rPr>
        <w:t>. (consulté le 3 juillet 2015) http://encyclopediecanadienne.ca/fr/article/histoire-des-travailleurs/</w:t>
      </w:r>
    </w:p>
  </w:footnote>
  <w:footnote w:id="6">
    <w:p w:rsidR="00AE7DE1" w:rsidRPr="00B05C6B" w:rsidRDefault="00AE7DE1" w:rsidP="00AE7DE1">
      <w:pPr>
        <w:pStyle w:val="FootnoteText"/>
        <w:rPr>
          <w:rFonts w:ascii="Arial" w:hAnsi="Arial" w:cs="Arial"/>
          <w:highlight w:val="yellow"/>
          <w:lang w:val="fr-CA"/>
        </w:rPr>
      </w:pPr>
      <w:r w:rsidRPr="00B05C6B">
        <w:rPr>
          <w:rStyle w:val="FootnoteReference"/>
          <w:rFonts w:ascii="Arial" w:hAnsi="Arial" w:cs="Arial"/>
          <w:lang w:val="fr-CA"/>
        </w:rPr>
        <w:footnoteRef/>
      </w:r>
      <w:r w:rsidRPr="00B05C6B">
        <w:rPr>
          <w:rFonts w:ascii="Arial" w:hAnsi="Arial" w:cs="Arial"/>
        </w:rPr>
        <w:t xml:space="preserve"> Ontario Federation of Labour. History. </w:t>
      </w:r>
      <w:r w:rsidRPr="00B05C6B">
        <w:rPr>
          <w:rFonts w:ascii="Arial" w:hAnsi="Arial" w:cs="Arial"/>
          <w:lang w:val="fr-CA"/>
        </w:rPr>
        <w:t>12 juin 2012 (consulté le 3 juillet 2015) http://ofl.ca/index.php/about/history/.</w:t>
      </w:r>
    </w:p>
  </w:footnote>
  <w:footnote w:id="7">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lang w:val="fr-CA"/>
        </w:rPr>
        <w:t xml:space="preserve"> L’encyclopédie canadienne. </w:t>
      </w:r>
      <w:r w:rsidRPr="00BD6582">
        <w:rPr>
          <w:rFonts w:ascii="Arial" w:hAnsi="Arial" w:cs="Arial"/>
          <w:i/>
          <w:lang w:val="fr-CA"/>
        </w:rPr>
        <w:t>Formule Rand</w:t>
      </w:r>
      <w:r w:rsidRPr="00BD6582">
        <w:rPr>
          <w:rFonts w:ascii="Arial" w:hAnsi="Arial" w:cs="Arial"/>
          <w:lang w:val="fr-CA"/>
        </w:rPr>
        <w:t xml:space="preserve">. (consulté le 3 juillet 2015) http://encyclopediecanadienne.ca/fr/article/formule-rand/ </w:t>
      </w:r>
    </w:p>
  </w:footnote>
  <w:footnote w:id="8">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rPr>
        <w:t xml:space="preserve"> UNIFOR. </w:t>
      </w:r>
      <w:r w:rsidRPr="00BD6582">
        <w:rPr>
          <w:rFonts w:ascii="Arial" w:hAnsi="Arial" w:cs="Arial"/>
          <w:i/>
        </w:rPr>
        <w:t>Where Did Our Rights Come From?</w:t>
      </w:r>
      <w:r w:rsidRPr="00BD6582">
        <w:rPr>
          <w:rFonts w:ascii="Arial" w:hAnsi="Arial" w:cs="Arial"/>
        </w:rPr>
        <w:t xml:space="preserve"> </w:t>
      </w:r>
      <w:r w:rsidRPr="00BD6582">
        <w:rPr>
          <w:rFonts w:ascii="Arial" w:hAnsi="Arial" w:cs="Arial"/>
          <w:lang w:val="fr-CA"/>
        </w:rPr>
        <w:t>(consulté le 3 juillet 2015) http://www.unifor.org/sites/default/files/documents/document/part_5_-_fleck_strike_r.pdf.</w:t>
      </w:r>
    </w:p>
  </w:footnote>
  <w:footnote w:id="9">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lang w:val="fr-CA"/>
        </w:rPr>
        <w:t xml:space="preserve"> Fédération du travail de l’Ontario. </w:t>
      </w:r>
      <w:r w:rsidRPr="00BD6582">
        <w:rPr>
          <w:rFonts w:ascii="Arial" w:hAnsi="Arial" w:cs="Arial"/>
          <w:i/>
        </w:rPr>
        <w:t>Ontario Federation of Labour</w:t>
      </w:r>
      <w:r>
        <w:rPr>
          <w:rFonts w:ascii="Arial" w:hAnsi="Arial" w:cs="Arial"/>
          <w:i/>
        </w:rPr>
        <w:t> </w:t>
      </w:r>
      <w:r w:rsidRPr="00BD6582">
        <w:rPr>
          <w:rFonts w:ascii="Arial" w:hAnsi="Arial" w:cs="Arial"/>
          <w:i/>
        </w:rPr>
        <w:t>: 50th Anniversary</w:t>
      </w:r>
      <w:r w:rsidRPr="00BD6582">
        <w:rPr>
          <w:rFonts w:ascii="Arial" w:hAnsi="Arial" w:cs="Arial"/>
        </w:rPr>
        <w:t xml:space="preserve">, 2007. </w:t>
      </w:r>
      <w:r w:rsidRPr="00BD6582">
        <w:rPr>
          <w:rFonts w:ascii="Arial" w:hAnsi="Arial" w:cs="Arial"/>
          <w:lang w:val="fr-CA"/>
        </w:rPr>
        <w:t xml:space="preserve">(consulté le 3 juillet 2015) http://ofl.ca/wp-content/uploads/2007.11.20-Report-OFL.50th.Anniversary-Web.pdf. </w:t>
      </w:r>
    </w:p>
  </w:footnote>
  <w:footnote w:id="10">
    <w:p w:rsidR="00AE7DE1" w:rsidRPr="008E3EB1" w:rsidRDefault="00AE7DE1" w:rsidP="00AE7DE1">
      <w:pPr>
        <w:pStyle w:val="FootnoteText"/>
        <w:rPr>
          <w:rFonts w:ascii="Arial" w:hAnsi="Arial" w:cs="Arial"/>
          <w:highlight w:val="yellow"/>
        </w:rPr>
      </w:pPr>
      <w:r w:rsidRPr="00BD6582">
        <w:rPr>
          <w:rStyle w:val="FootnoteReference"/>
          <w:rFonts w:ascii="Arial" w:hAnsi="Arial" w:cs="Arial"/>
          <w:lang w:val="fr-CA"/>
        </w:rPr>
        <w:footnoteRef/>
      </w:r>
      <w:r w:rsidRPr="00BD6582">
        <w:rPr>
          <w:rFonts w:ascii="Arial" w:hAnsi="Arial" w:cs="Arial"/>
        </w:rPr>
        <w:t xml:space="preserve"> Idem.</w:t>
      </w:r>
    </w:p>
  </w:footnote>
  <w:footnote w:id="11">
    <w:p w:rsidR="00AE7DE1" w:rsidRPr="00BD6582" w:rsidRDefault="00AE7DE1" w:rsidP="00AE7DE1">
      <w:pPr>
        <w:pStyle w:val="FootnoteText"/>
        <w:rPr>
          <w:rFonts w:ascii="Arial" w:hAnsi="Arial" w:cs="Arial"/>
        </w:rPr>
      </w:pPr>
      <w:r w:rsidRPr="00BD6582">
        <w:rPr>
          <w:rStyle w:val="FootnoteReference"/>
          <w:rFonts w:ascii="Arial" w:hAnsi="Arial" w:cs="Arial"/>
          <w:lang w:val="fr-CA"/>
        </w:rPr>
        <w:footnoteRef/>
      </w:r>
      <w:r w:rsidRPr="00BD6582">
        <w:rPr>
          <w:rFonts w:ascii="Arial" w:hAnsi="Arial" w:cs="Arial"/>
        </w:rPr>
        <w:t xml:space="preserve"> Idem.</w:t>
      </w:r>
    </w:p>
  </w:footnote>
  <w:footnote w:id="12">
    <w:p w:rsidR="00AE7DE1" w:rsidRPr="00BD6582" w:rsidRDefault="00AE7DE1" w:rsidP="00AE7DE1">
      <w:pPr>
        <w:pStyle w:val="FootnoteText"/>
        <w:rPr>
          <w:rFonts w:ascii="Calibri" w:hAnsi="Calibri" w:cs="Calibri"/>
        </w:rPr>
      </w:pPr>
      <w:r w:rsidRPr="00BD6582">
        <w:rPr>
          <w:rStyle w:val="FootnoteReference"/>
          <w:rFonts w:ascii="Arial" w:hAnsi="Arial" w:cs="Arial"/>
          <w:lang w:val="fr-CA"/>
        </w:rPr>
        <w:footnoteRef/>
      </w:r>
      <w:r w:rsidRPr="00BD6582">
        <w:rPr>
          <w:rFonts w:ascii="Arial" w:hAnsi="Arial" w:cs="Arial"/>
        </w:rPr>
        <w:t xml:space="preserve"> Idem.</w:t>
      </w:r>
    </w:p>
  </w:footnote>
  <w:footnote w:id="13">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rPr>
        <w:t xml:space="preserve"> Wynne, Kathleen. </w:t>
      </w:r>
      <w:r w:rsidRPr="00BD6582">
        <w:rPr>
          <w:rFonts w:ascii="Arial" w:hAnsi="Arial" w:cs="Arial"/>
          <w:i/>
          <w:lang w:val="fr-CA"/>
        </w:rPr>
        <w:t>Faire progresser l’Ontario | Discours du Trône</w:t>
      </w:r>
      <w:r w:rsidRPr="00BD6582">
        <w:rPr>
          <w:rFonts w:ascii="Arial" w:hAnsi="Arial" w:cs="Arial"/>
          <w:lang w:val="fr-CA"/>
        </w:rPr>
        <w:t>. News.ontario.ca. 2014. (Consulté le 3 juillet 2015) https://news.ontario.ca/opo/fr/2014/07/faire-progresser</w:t>
      </w:r>
      <w:r>
        <w:rPr>
          <w:rFonts w:ascii="Arial" w:hAnsi="Arial" w:cs="Arial"/>
          <w:lang w:val="fr-CA"/>
        </w:rPr>
        <w:t>-ontario-discours-du-trone.html</w:t>
      </w:r>
    </w:p>
  </w:footnote>
  <w:footnote w:id="14">
    <w:p w:rsidR="00AE7DE1" w:rsidRPr="00BD6582" w:rsidRDefault="00AE7DE1" w:rsidP="00AE7DE1">
      <w:pPr>
        <w:pStyle w:val="FootnoteText"/>
        <w:rPr>
          <w:rFonts w:ascii="Arial" w:hAnsi="Arial" w:cs="Arial"/>
          <w:lang w:val="fr-CA"/>
        </w:rPr>
      </w:pPr>
      <w:r w:rsidRPr="00BD6582">
        <w:rPr>
          <w:rStyle w:val="FootnoteReference"/>
          <w:rFonts w:ascii="Arial" w:hAnsi="Arial" w:cs="Arial"/>
          <w:lang w:val="fr-CA"/>
        </w:rPr>
        <w:footnoteRef/>
      </w:r>
      <w:r w:rsidRPr="00BD6582">
        <w:rPr>
          <w:rFonts w:ascii="Arial" w:hAnsi="Arial" w:cs="Arial"/>
          <w:lang w:val="fr-CA"/>
        </w:rPr>
        <w:t xml:space="preserve"> Wynne, Kathleen. </w:t>
      </w:r>
      <w:r w:rsidRPr="00BD6582">
        <w:rPr>
          <w:rFonts w:ascii="Arial" w:hAnsi="Arial" w:cs="Arial"/>
          <w:i/>
          <w:lang w:val="fr-CA"/>
        </w:rPr>
        <w:t>Lettre de mandat</w:t>
      </w:r>
      <w:r>
        <w:rPr>
          <w:rFonts w:ascii="Arial" w:hAnsi="Arial" w:cs="Arial"/>
          <w:i/>
          <w:lang w:val="fr-CA"/>
        </w:rPr>
        <w:t> </w:t>
      </w:r>
      <w:r w:rsidRPr="00BD6582">
        <w:rPr>
          <w:rFonts w:ascii="Arial" w:hAnsi="Arial" w:cs="Arial"/>
          <w:i/>
          <w:lang w:val="fr-CA"/>
        </w:rPr>
        <w:t>2014 : Travail.</w:t>
      </w:r>
      <w:r w:rsidRPr="00BD6582">
        <w:rPr>
          <w:rFonts w:ascii="Arial" w:hAnsi="Arial" w:cs="Arial"/>
          <w:lang w:val="fr-CA"/>
        </w:rPr>
        <w:t xml:space="preserve"> Ontario.ca, 24 septembre 2014. (Consulté le 3 juillet 2015) https://www.ontario.ca/fr/pag</w:t>
      </w:r>
      <w:r>
        <w:rPr>
          <w:rFonts w:ascii="Arial" w:hAnsi="Arial" w:cs="Arial"/>
          <w:lang w:val="fr-CA"/>
        </w:rPr>
        <w:t>e/lettre-de-mandat-2014-travail</w:t>
      </w:r>
    </w:p>
  </w:footnote>
  <w:footnote w:id="15">
    <w:p w:rsidR="00AE7DE1" w:rsidRPr="00C53B52" w:rsidRDefault="00AE7DE1" w:rsidP="00AE7DE1">
      <w:pPr>
        <w:pStyle w:val="FootnoteText"/>
        <w:rPr>
          <w:rFonts w:ascii="Arial" w:hAnsi="Arial" w:cs="Arial"/>
          <w:highlight w:val="yellow"/>
          <w:lang w:val="fr-CA"/>
        </w:rPr>
      </w:pPr>
      <w:r w:rsidRPr="00BD6582">
        <w:rPr>
          <w:rStyle w:val="FootnoteReference"/>
          <w:rFonts w:ascii="Arial" w:hAnsi="Arial" w:cs="Arial"/>
          <w:lang w:val="fr-CA"/>
        </w:rPr>
        <w:footnoteRef/>
      </w:r>
      <w:r w:rsidRPr="00BD6582">
        <w:rPr>
          <w:rFonts w:ascii="Arial" w:hAnsi="Arial" w:cs="Arial"/>
          <w:lang w:val="fr-CA"/>
        </w:rPr>
        <w:t xml:space="preserve"> Ministère du Travail. </w:t>
      </w:r>
      <w:r w:rsidRPr="00BD6582">
        <w:rPr>
          <w:rFonts w:ascii="Arial" w:hAnsi="Arial" w:cs="Arial"/>
          <w:i/>
          <w:lang w:val="fr-CA"/>
        </w:rPr>
        <w:t>Information financière du ministère</w:t>
      </w:r>
      <w:r w:rsidRPr="00BD6582">
        <w:rPr>
          <w:rFonts w:ascii="Arial" w:hAnsi="Arial" w:cs="Arial"/>
          <w:lang w:val="fr-CA"/>
        </w:rPr>
        <w:t>. 2013. (</w:t>
      </w:r>
      <w:r>
        <w:rPr>
          <w:rFonts w:ascii="Arial" w:hAnsi="Arial" w:cs="Arial"/>
          <w:lang w:val="fr-CA"/>
        </w:rPr>
        <w:t>C</w:t>
      </w:r>
      <w:r w:rsidRPr="00BD6582">
        <w:rPr>
          <w:rFonts w:ascii="Arial" w:hAnsi="Arial" w:cs="Arial"/>
          <w:lang w:val="fr-CA"/>
        </w:rPr>
        <w:t>onsulté le 3 juillet 2015) http://www.labour.gov.on.ca/frenc</w:t>
      </w:r>
      <w:r>
        <w:rPr>
          <w:rFonts w:ascii="Arial" w:hAnsi="Arial" w:cs="Arial"/>
          <w:lang w:val="fr-CA"/>
        </w:rPr>
        <w:t>h/about/pubs/rbp/2013/rbp_7.php</w:t>
      </w:r>
    </w:p>
  </w:footnote>
  <w:footnote w:id="16">
    <w:p w:rsidR="00AE7DE1" w:rsidRPr="00BA6D28" w:rsidRDefault="00AE7DE1" w:rsidP="00AE7DE1">
      <w:pPr>
        <w:pStyle w:val="FootnoteText"/>
        <w:rPr>
          <w:rFonts w:ascii="Calibri" w:hAnsi="Calibri" w:cs="Calibri"/>
          <w:lang w:val="fr-CA"/>
        </w:rPr>
      </w:pPr>
      <w:r w:rsidRPr="00F962E5">
        <w:rPr>
          <w:rStyle w:val="FootnoteReference"/>
          <w:rFonts w:ascii="Arial" w:hAnsi="Arial" w:cs="Arial"/>
          <w:lang w:val="fr-CA"/>
        </w:rPr>
        <w:footnoteRef/>
      </w:r>
      <w:r w:rsidRPr="00F962E5">
        <w:rPr>
          <w:rFonts w:ascii="Arial" w:hAnsi="Arial" w:cs="Arial"/>
          <w:lang w:val="fr-CA"/>
        </w:rPr>
        <w:t xml:space="preserve"> Ministère du Travail. </w:t>
      </w:r>
      <w:r w:rsidRPr="00F962E5">
        <w:rPr>
          <w:rFonts w:ascii="Arial" w:hAnsi="Arial" w:cs="Arial"/>
          <w:i/>
          <w:lang w:val="fr-CA"/>
        </w:rPr>
        <w:t>À propos du ministère</w:t>
      </w:r>
      <w:r w:rsidRPr="00F962E5">
        <w:rPr>
          <w:rFonts w:ascii="Arial" w:hAnsi="Arial" w:cs="Arial"/>
          <w:lang w:val="fr-CA"/>
        </w:rPr>
        <w:t>. (Consulté le 3 juillet 2015) http://www.labour.gov.on.ca/french/about/</w:t>
      </w:r>
      <w:r w:rsidRPr="00BA6D28">
        <w:rPr>
          <w:rFonts w:ascii="Arial" w:hAnsi="Arial" w:cs="Arial"/>
          <w:lang w:val="fr-CA"/>
        </w:rPr>
        <w:t>index.php.</w:t>
      </w:r>
    </w:p>
  </w:footnote>
  <w:footnote w:id="17">
    <w:p w:rsidR="00AE7DE1" w:rsidRPr="00BA6D28" w:rsidRDefault="00AE7DE1" w:rsidP="00AE7DE1">
      <w:pPr>
        <w:pStyle w:val="FootnoteText"/>
        <w:rPr>
          <w:rFonts w:ascii="Arial" w:hAnsi="Arial" w:cs="Arial"/>
          <w:lang w:val="fr-CA"/>
        </w:rPr>
      </w:pPr>
      <w:r w:rsidRPr="00BA6D28">
        <w:rPr>
          <w:rStyle w:val="FootnoteReference"/>
          <w:rFonts w:ascii="Arial" w:hAnsi="Arial" w:cs="Arial"/>
          <w:lang w:val="fr-CA"/>
        </w:rPr>
        <w:footnoteRef/>
      </w:r>
      <w:r w:rsidRPr="00BA6D28">
        <w:rPr>
          <w:rFonts w:ascii="Arial" w:hAnsi="Arial" w:cs="Arial"/>
          <w:lang w:val="fr-CA"/>
        </w:rPr>
        <w:t xml:space="preserve"> Ministère du Travail. Lois administrées par le ministère du Travail en 2013-2014. 2013. (Consulté le 3 juillet 2015) http://www.labour.gov.on.ca/french/about/pubs/rbp/2013/rbp_3.php</w:t>
      </w:r>
    </w:p>
  </w:footnote>
  <w:footnote w:id="18">
    <w:p w:rsidR="00AE7DE1" w:rsidRPr="0012451A" w:rsidRDefault="00AE7DE1" w:rsidP="00AE7DE1">
      <w:pPr>
        <w:pStyle w:val="FootnoteText"/>
        <w:rPr>
          <w:rFonts w:ascii="Calibri" w:hAnsi="Calibri" w:cs="Calibri"/>
          <w:lang w:val="fr-CA"/>
        </w:rPr>
      </w:pPr>
      <w:r w:rsidRPr="00BA6D28">
        <w:rPr>
          <w:rStyle w:val="FootnoteReference"/>
          <w:rFonts w:ascii="Arial" w:hAnsi="Arial" w:cs="Arial"/>
        </w:rPr>
        <w:footnoteRef/>
      </w:r>
      <w:r w:rsidRPr="00BA6D28">
        <w:rPr>
          <w:rFonts w:ascii="Arial" w:hAnsi="Arial" w:cs="Arial"/>
          <w:lang w:val="fr-CA"/>
        </w:rPr>
        <w:t xml:space="preserve"> Commission des relations de travail de l’Ontario. </w:t>
      </w:r>
      <w:r w:rsidRPr="00BA6D28">
        <w:rPr>
          <w:rFonts w:ascii="Arial" w:hAnsi="Arial" w:cs="Arial"/>
          <w:i/>
          <w:lang w:val="fr-CA"/>
        </w:rPr>
        <w:t>Qu’est-ce que la Commission des relations de travail de l’Ontario?</w:t>
      </w:r>
      <w:r w:rsidRPr="00BA6D28">
        <w:rPr>
          <w:rFonts w:ascii="Arial" w:hAnsi="Arial" w:cs="Arial"/>
          <w:lang w:val="fr-CA"/>
        </w:rPr>
        <w:t xml:space="preserve"> </w:t>
      </w:r>
      <w:r w:rsidRPr="00BA6D28">
        <w:rPr>
          <w:rFonts w:ascii="Arial" w:hAnsi="Arial" w:cs="Arial"/>
          <w:i/>
          <w:lang w:val="fr-CA"/>
        </w:rPr>
        <w:t>La Commission</w:t>
      </w:r>
      <w:r w:rsidRPr="00BA6D28">
        <w:rPr>
          <w:rFonts w:ascii="Arial" w:hAnsi="Arial" w:cs="Arial"/>
          <w:lang w:val="fr-CA"/>
        </w:rPr>
        <w:t>. (Consulté le 3 juillet 2015) http://www.olrb.gov.on.ca/french/AboutUsf.htm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Default="00AE7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Default="00AE7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DE1" w:rsidRDefault="00AE7DE1">
    <w:pPr>
      <w:pStyle w:val="Header"/>
    </w:pPr>
    <w:r>
      <w:rPr>
        <w:noProof/>
      </w:rPr>
      <w:drawing>
        <wp:inline distT="0" distB="0" distL="0" distR="0">
          <wp:extent cx="2143125" cy="990600"/>
          <wp:effectExtent l="0" t="0" r="9525" b="0"/>
          <wp:docPr id="2" name="Picture 2" descr="NEW_Ont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133"/>
    <w:multiLevelType w:val="hybridMultilevel"/>
    <w:tmpl w:val="927ABE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C340EE"/>
    <w:multiLevelType w:val="hybridMultilevel"/>
    <w:tmpl w:val="CF9C1DEA"/>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9B746A1"/>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7908AA"/>
    <w:multiLevelType w:val="hybridMultilevel"/>
    <w:tmpl w:val="26B681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58B51BD"/>
    <w:multiLevelType w:val="hybridMultilevel"/>
    <w:tmpl w:val="0C6CEF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7E0885"/>
    <w:multiLevelType w:val="hybridMultilevel"/>
    <w:tmpl w:val="F20C47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62117750"/>
    <w:multiLevelType w:val="hybridMultilevel"/>
    <w:tmpl w:val="EC505E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89A7B95"/>
    <w:multiLevelType w:val="hybridMultilevel"/>
    <w:tmpl w:val="D2A6C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6"/>
  </w:num>
  <w:num w:numId="5">
    <w:abstractNumId w:val="2"/>
  </w:num>
  <w:num w:numId="6">
    <w:abstractNumId w:val="10"/>
  </w:num>
  <w:num w:numId="7">
    <w:abstractNumId w:val="3"/>
  </w:num>
  <w:num w:numId="8">
    <w:abstractNumId w:val="0"/>
  </w:num>
  <w:num w:numId="9">
    <w:abstractNumId w:val="7"/>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DE1"/>
    <w:rsid w:val="00902F06"/>
    <w:rsid w:val="00AE7DE1"/>
    <w:rsid w:val="00F617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E7DE1"/>
    <w:pPr>
      <w:keepNext/>
      <w:spacing w:before="240" w:after="60" w:line="240" w:lineRule="auto"/>
      <w:outlineLvl w:val="0"/>
    </w:pPr>
    <w:rPr>
      <w:rFonts w:ascii="Arial" w:eastAsia="Times New Roman" w:hAnsi="Arial" w:cs="Arial"/>
      <w:bCs/>
      <w:kern w:val="32"/>
      <w:sz w:val="40"/>
      <w:szCs w:val="40"/>
      <w:lang w:val="fr-CA" w:eastAsia="en-CA"/>
    </w:rPr>
  </w:style>
  <w:style w:type="paragraph" w:styleId="Heading2">
    <w:name w:val="heading 2"/>
    <w:basedOn w:val="Normal"/>
    <w:next w:val="Normal"/>
    <w:link w:val="Heading2Char"/>
    <w:unhideWhenUsed/>
    <w:qFormat/>
    <w:rsid w:val="00AE7DE1"/>
    <w:pPr>
      <w:keepNext/>
      <w:spacing w:before="240" w:after="60" w:line="240" w:lineRule="auto"/>
      <w:outlineLvl w:val="1"/>
    </w:pPr>
    <w:rPr>
      <w:rFonts w:ascii="Arial" w:eastAsia="Times New Roman" w:hAnsi="Arial" w:cs="Arial"/>
      <w:b/>
      <w:bCs/>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E1"/>
    <w:rPr>
      <w:rFonts w:ascii="Arial" w:eastAsia="Times New Roman" w:hAnsi="Arial" w:cs="Arial"/>
      <w:bCs/>
      <w:kern w:val="32"/>
      <w:sz w:val="40"/>
      <w:szCs w:val="40"/>
      <w:lang w:val="fr-CA" w:eastAsia="en-CA"/>
    </w:rPr>
  </w:style>
  <w:style w:type="character" w:customStyle="1" w:styleId="Heading2Char">
    <w:name w:val="Heading 2 Char"/>
    <w:basedOn w:val="DefaultParagraphFont"/>
    <w:link w:val="Heading2"/>
    <w:rsid w:val="00AE7DE1"/>
    <w:rPr>
      <w:rFonts w:ascii="Arial" w:eastAsia="Times New Roman" w:hAnsi="Arial" w:cs="Arial"/>
      <w:b/>
      <w:bCs/>
      <w:iCs/>
      <w:sz w:val="24"/>
      <w:szCs w:val="24"/>
      <w:lang w:eastAsia="en-CA"/>
    </w:rPr>
  </w:style>
  <w:style w:type="numbering" w:customStyle="1" w:styleId="NoList1">
    <w:name w:val="No List1"/>
    <w:next w:val="NoList"/>
    <w:uiPriority w:val="99"/>
    <w:semiHidden/>
    <w:unhideWhenUsed/>
    <w:rsid w:val="00AE7DE1"/>
  </w:style>
  <w:style w:type="paragraph" w:styleId="Header">
    <w:name w:val="header"/>
    <w:basedOn w:val="Normal"/>
    <w:link w:val="HeaderChar"/>
    <w:rsid w:val="00AE7DE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rsid w:val="00AE7DE1"/>
    <w:rPr>
      <w:rFonts w:ascii="Times New Roman" w:eastAsia="Times New Roman" w:hAnsi="Times New Roman" w:cs="Times New Roman"/>
      <w:sz w:val="24"/>
      <w:szCs w:val="24"/>
      <w:lang w:eastAsia="en-CA"/>
    </w:rPr>
  </w:style>
  <w:style w:type="paragraph" w:styleId="Footer">
    <w:name w:val="footer"/>
    <w:basedOn w:val="Normal"/>
    <w:link w:val="FooterChar"/>
    <w:rsid w:val="00AE7DE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AE7DE1"/>
    <w:rPr>
      <w:rFonts w:ascii="Times New Roman" w:eastAsia="Times New Roman" w:hAnsi="Times New Roman" w:cs="Times New Roman"/>
      <w:sz w:val="24"/>
      <w:szCs w:val="24"/>
      <w:lang w:eastAsia="en-CA"/>
    </w:rPr>
  </w:style>
  <w:style w:type="paragraph" w:styleId="BodyText2">
    <w:name w:val="Body Text 2"/>
    <w:basedOn w:val="Normal"/>
    <w:link w:val="BodyText2Char"/>
    <w:rsid w:val="00AE7DE1"/>
    <w:pPr>
      <w:tabs>
        <w:tab w:val="left" w:pos="3600"/>
        <w:tab w:val="left" w:pos="7200"/>
      </w:tabs>
      <w:suppressAutoHyphens/>
      <w:spacing w:after="0" w:line="240" w:lineRule="auto"/>
    </w:pPr>
    <w:rPr>
      <w:rFonts w:ascii="Arial" w:eastAsia="Times New Roman" w:hAnsi="Arial" w:cs="Arial"/>
      <w:b/>
      <w:bCs/>
      <w:i/>
      <w:iCs/>
      <w:sz w:val="24"/>
      <w:szCs w:val="20"/>
      <w:lang w:val="en-GB"/>
    </w:rPr>
  </w:style>
  <w:style w:type="character" w:customStyle="1" w:styleId="BodyText2Char">
    <w:name w:val="Body Text 2 Char"/>
    <w:basedOn w:val="DefaultParagraphFont"/>
    <w:link w:val="BodyText2"/>
    <w:rsid w:val="00AE7DE1"/>
    <w:rPr>
      <w:rFonts w:ascii="Arial" w:eastAsia="Times New Roman" w:hAnsi="Arial" w:cs="Arial"/>
      <w:b/>
      <w:bCs/>
      <w:i/>
      <w:iCs/>
      <w:sz w:val="24"/>
      <w:szCs w:val="20"/>
      <w:lang w:val="en-GB"/>
    </w:rPr>
  </w:style>
  <w:style w:type="paragraph" w:styleId="FootnoteText">
    <w:name w:val="footnote text"/>
    <w:basedOn w:val="Normal"/>
    <w:link w:val="FootnoteTextChar"/>
    <w:semiHidden/>
    <w:rsid w:val="00AE7DE1"/>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semiHidden/>
    <w:rsid w:val="00AE7DE1"/>
    <w:rPr>
      <w:rFonts w:ascii="Times New Roman" w:eastAsia="Times New Roman" w:hAnsi="Times New Roman" w:cs="Times New Roman"/>
      <w:sz w:val="20"/>
      <w:szCs w:val="20"/>
      <w:lang w:eastAsia="en-CA"/>
    </w:rPr>
  </w:style>
  <w:style w:type="character" w:styleId="FootnoteReference">
    <w:name w:val="footnote reference"/>
    <w:semiHidden/>
    <w:rsid w:val="00AE7DE1"/>
    <w:rPr>
      <w:vertAlign w:val="superscript"/>
    </w:rPr>
  </w:style>
  <w:style w:type="paragraph" w:styleId="BalloonText">
    <w:name w:val="Balloon Text"/>
    <w:basedOn w:val="Normal"/>
    <w:link w:val="BalloonTextChar"/>
    <w:rsid w:val="00AE7DE1"/>
    <w:pPr>
      <w:spacing w:after="0" w:line="240" w:lineRule="auto"/>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AE7DE1"/>
    <w:rPr>
      <w:rFonts w:ascii="Tahoma" w:eastAsia="Times New Roman" w:hAnsi="Tahoma" w:cs="Tahoma"/>
      <w:sz w:val="16"/>
      <w:szCs w:val="16"/>
      <w:lang w:eastAsia="en-CA"/>
    </w:rPr>
  </w:style>
  <w:style w:type="character" w:styleId="Hyperlink">
    <w:name w:val="Hyperlink"/>
    <w:uiPriority w:val="99"/>
    <w:rsid w:val="00AE7DE1"/>
    <w:rPr>
      <w:color w:val="0000FF"/>
      <w:u w:val="single"/>
    </w:rPr>
  </w:style>
  <w:style w:type="character" w:styleId="CommentReference">
    <w:name w:val="annotation reference"/>
    <w:rsid w:val="00AE7DE1"/>
    <w:rPr>
      <w:sz w:val="16"/>
      <w:szCs w:val="16"/>
    </w:rPr>
  </w:style>
  <w:style w:type="paragraph" w:styleId="CommentText">
    <w:name w:val="annotation text"/>
    <w:basedOn w:val="Normal"/>
    <w:link w:val="CommentTextChar"/>
    <w:rsid w:val="00AE7DE1"/>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rsid w:val="00AE7DE1"/>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rsid w:val="00AE7DE1"/>
    <w:rPr>
      <w:b/>
      <w:bCs/>
    </w:rPr>
  </w:style>
  <w:style w:type="character" w:customStyle="1" w:styleId="CommentSubjectChar">
    <w:name w:val="Comment Subject Char"/>
    <w:basedOn w:val="CommentTextChar"/>
    <w:link w:val="CommentSubject"/>
    <w:rsid w:val="00AE7DE1"/>
    <w:rPr>
      <w:rFonts w:ascii="Times New Roman" w:eastAsia="Times New Roman" w:hAnsi="Times New Roman" w:cs="Times New Roman"/>
      <w:b/>
      <w:bCs/>
      <w:sz w:val="20"/>
      <w:szCs w:val="20"/>
      <w:lang w:eastAsia="en-CA"/>
    </w:rPr>
  </w:style>
  <w:style w:type="paragraph" w:styleId="ListParagraph">
    <w:name w:val="List Paragraph"/>
    <w:basedOn w:val="Normal"/>
    <w:uiPriority w:val="34"/>
    <w:qFormat/>
    <w:rsid w:val="00AE7DE1"/>
    <w:pPr>
      <w:spacing w:after="0" w:line="240" w:lineRule="auto"/>
      <w:ind w:left="720"/>
      <w:contextualSpacing/>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semiHidden/>
    <w:unhideWhenUsed/>
    <w:qFormat/>
    <w:rsid w:val="00AE7DE1"/>
    <w:pPr>
      <w:keepLines/>
      <w:spacing w:before="480" w:after="0" w:line="276" w:lineRule="auto"/>
      <w:outlineLvl w:val="9"/>
    </w:pPr>
    <w:rPr>
      <w:rFonts w:ascii="Cambria" w:eastAsiaTheme="majorEastAsia" w:hAnsi="Cambria" w:cs="Times New Roman"/>
      <w:b/>
      <w:color w:val="365F91"/>
      <w:kern w:val="0"/>
      <w:sz w:val="28"/>
      <w:szCs w:val="28"/>
      <w:lang w:val="en-US" w:eastAsia="ja-JP"/>
    </w:rPr>
  </w:style>
  <w:style w:type="paragraph" w:styleId="TOC1">
    <w:name w:val="toc 1"/>
    <w:basedOn w:val="Normal"/>
    <w:next w:val="Normal"/>
    <w:autoRedefine/>
    <w:uiPriority w:val="39"/>
    <w:unhideWhenUsed/>
    <w:rsid w:val="00AE7DE1"/>
    <w:pPr>
      <w:spacing w:after="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AE7DE1"/>
    <w:pPr>
      <w:spacing w:after="0" w:line="240" w:lineRule="auto"/>
      <w:ind w:left="240"/>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E7DE1"/>
    <w:pPr>
      <w:keepNext/>
      <w:spacing w:before="240" w:after="60" w:line="240" w:lineRule="auto"/>
      <w:outlineLvl w:val="0"/>
    </w:pPr>
    <w:rPr>
      <w:rFonts w:ascii="Arial" w:eastAsia="Times New Roman" w:hAnsi="Arial" w:cs="Arial"/>
      <w:bCs/>
      <w:kern w:val="32"/>
      <w:sz w:val="40"/>
      <w:szCs w:val="40"/>
      <w:lang w:val="fr-CA" w:eastAsia="en-CA"/>
    </w:rPr>
  </w:style>
  <w:style w:type="paragraph" w:styleId="Heading2">
    <w:name w:val="heading 2"/>
    <w:basedOn w:val="Normal"/>
    <w:next w:val="Normal"/>
    <w:link w:val="Heading2Char"/>
    <w:unhideWhenUsed/>
    <w:qFormat/>
    <w:rsid w:val="00AE7DE1"/>
    <w:pPr>
      <w:keepNext/>
      <w:spacing w:before="240" w:after="60" w:line="240" w:lineRule="auto"/>
      <w:outlineLvl w:val="1"/>
    </w:pPr>
    <w:rPr>
      <w:rFonts w:ascii="Arial" w:eastAsia="Times New Roman" w:hAnsi="Arial" w:cs="Arial"/>
      <w:b/>
      <w:bCs/>
      <w:i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DE1"/>
    <w:rPr>
      <w:rFonts w:ascii="Arial" w:eastAsia="Times New Roman" w:hAnsi="Arial" w:cs="Arial"/>
      <w:bCs/>
      <w:kern w:val="32"/>
      <w:sz w:val="40"/>
      <w:szCs w:val="40"/>
      <w:lang w:val="fr-CA" w:eastAsia="en-CA"/>
    </w:rPr>
  </w:style>
  <w:style w:type="character" w:customStyle="1" w:styleId="Heading2Char">
    <w:name w:val="Heading 2 Char"/>
    <w:basedOn w:val="DefaultParagraphFont"/>
    <w:link w:val="Heading2"/>
    <w:rsid w:val="00AE7DE1"/>
    <w:rPr>
      <w:rFonts w:ascii="Arial" w:eastAsia="Times New Roman" w:hAnsi="Arial" w:cs="Arial"/>
      <w:b/>
      <w:bCs/>
      <w:iCs/>
      <w:sz w:val="24"/>
      <w:szCs w:val="24"/>
      <w:lang w:eastAsia="en-CA"/>
    </w:rPr>
  </w:style>
  <w:style w:type="numbering" w:customStyle="1" w:styleId="NoList1">
    <w:name w:val="No List1"/>
    <w:next w:val="NoList"/>
    <w:uiPriority w:val="99"/>
    <w:semiHidden/>
    <w:unhideWhenUsed/>
    <w:rsid w:val="00AE7DE1"/>
  </w:style>
  <w:style w:type="paragraph" w:styleId="Header">
    <w:name w:val="header"/>
    <w:basedOn w:val="Normal"/>
    <w:link w:val="HeaderChar"/>
    <w:rsid w:val="00AE7DE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HeaderChar">
    <w:name w:val="Header Char"/>
    <w:basedOn w:val="DefaultParagraphFont"/>
    <w:link w:val="Header"/>
    <w:rsid w:val="00AE7DE1"/>
    <w:rPr>
      <w:rFonts w:ascii="Times New Roman" w:eastAsia="Times New Roman" w:hAnsi="Times New Roman" w:cs="Times New Roman"/>
      <w:sz w:val="24"/>
      <w:szCs w:val="24"/>
      <w:lang w:eastAsia="en-CA"/>
    </w:rPr>
  </w:style>
  <w:style w:type="paragraph" w:styleId="Footer">
    <w:name w:val="footer"/>
    <w:basedOn w:val="Normal"/>
    <w:link w:val="FooterChar"/>
    <w:rsid w:val="00AE7DE1"/>
    <w:pPr>
      <w:tabs>
        <w:tab w:val="center" w:pos="4320"/>
        <w:tab w:val="right" w:pos="8640"/>
      </w:tabs>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rsid w:val="00AE7DE1"/>
    <w:rPr>
      <w:rFonts w:ascii="Times New Roman" w:eastAsia="Times New Roman" w:hAnsi="Times New Roman" w:cs="Times New Roman"/>
      <w:sz w:val="24"/>
      <w:szCs w:val="24"/>
      <w:lang w:eastAsia="en-CA"/>
    </w:rPr>
  </w:style>
  <w:style w:type="paragraph" w:styleId="BodyText2">
    <w:name w:val="Body Text 2"/>
    <w:basedOn w:val="Normal"/>
    <w:link w:val="BodyText2Char"/>
    <w:rsid w:val="00AE7DE1"/>
    <w:pPr>
      <w:tabs>
        <w:tab w:val="left" w:pos="3600"/>
        <w:tab w:val="left" w:pos="7200"/>
      </w:tabs>
      <w:suppressAutoHyphens/>
      <w:spacing w:after="0" w:line="240" w:lineRule="auto"/>
    </w:pPr>
    <w:rPr>
      <w:rFonts w:ascii="Arial" w:eastAsia="Times New Roman" w:hAnsi="Arial" w:cs="Arial"/>
      <w:b/>
      <w:bCs/>
      <w:i/>
      <w:iCs/>
      <w:sz w:val="24"/>
      <w:szCs w:val="20"/>
      <w:lang w:val="en-GB"/>
    </w:rPr>
  </w:style>
  <w:style w:type="character" w:customStyle="1" w:styleId="BodyText2Char">
    <w:name w:val="Body Text 2 Char"/>
    <w:basedOn w:val="DefaultParagraphFont"/>
    <w:link w:val="BodyText2"/>
    <w:rsid w:val="00AE7DE1"/>
    <w:rPr>
      <w:rFonts w:ascii="Arial" w:eastAsia="Times New Roman" w:hAnsi="Arial" w:cs="Arial"/>
      <w:b/>
      <w:bCs/>
      <w:i/>
      <w:iCs/>
      <w:sz w:val="24"/>
      <w:szCs w:val="20"/>
      <w:lang w:val="en-GB"/>
    </w:rPr>
  </w:style>
  <w:style w:type="paragraph" w:styleId="FootnoteText">
    <w:name w:val="footnote text"/>
    <w:basedOn w:val="Normal"/>
    <w:link w:val="FootnoteTextChar"/>
    <w:semiHidden/>
    <w:rsid w:val="00AE7DE1"/>
    <w:pPr>
      <w:spacing w:after="0" w:line="240" w:lineRule="auto"/>
    </w:pPr>
    <w:rPr>
      <w:rFonts w:ascii="Times New Roman" w:eastAsia="Times New Roman" w:hAnsi="Times New Roman" w:cs="Times New Roman"/>
      <w:sz w:val="20"/>
      <w:szCs w:val="20"/>
      <w:lang w:eastAsia="en-CA"/>
    </w:rPr>
  </w:style>
  <w:style w:type="character" w:customStyle="1" w:styleId="FootnoteTextChar">
    <w:name w:val="Footnote Text Char"/>
    <w:basedOn w:val="DefaultParagraphFont"/>
    <w:link w:val="FootnoteText"/>
    <w:semiHidden/>
    <w:rsid w:val="00AE7DE1"/>
    <w:rPr>
      <w:rFonts w:ascii="Times New Roman" w:eastAsia="Times New Roman" w:hAnsi="Times New Roman" w:cs="Times New Roman"/>
      <w:sz w:val="20"/>
      <w:szCs w:val="20"/>
      <w:lang w:eastAsia="en-CA"/>
    </w:rPr>
  </w:style>
  <w:style w:type="character" w:styleId="FootnoteReference">
    <w:name w:val="footnote reference"/>
    <w:semiHidden/>
    <w:rsid w:val="00AE7DE1"/>
    <w:rPr>
      <w:vertAlign w:val="superscript"/>
    </w:rPr>
  </w:style>
  <w:style w:type="paragraph" w:styleId="BalloonText">
    <w:name w:val="Balloon Text"/>
    <w:basedOn w:val="Normal"/>
    <w:link w:val="BalloonTextChar"/>
    <w:rsid w:val="00AE7DE1"/>
    <w:pPr>
      <w:spacing w:after="0" w:line="240" w:lineRule="auto"/>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rsid w:val="00AE7DE1"/>
    <w:rPr>
      <w:rFonts w:ascii="Tahoma" w:eastAsia="Times New Roman" w:hAnsi="Tahoma" w:cs="Tahoma"/>
      <w:sz w:val="16"/>
      <w:szCs w:val="16"/>
      <w:lang w:eastAsia="en-CA"/>
    </w:rPr>
  </w:style>
  <w:style w:type="character" w:styleId="Hyperlink">
    <w:name w:val="Hyperlink"/>
    <w:uiPriority w:val="99"/>
    <w:rsid w:val="00AE7DE1"/>
    <w:rPr>
      <w:color w:val="0000FF"/>
      <w:u w:val="single"/>
    </w:rPr>
  </w:style>
  <w:style w:type="character" w:styleId="CommentReference">
    <w:name w:val="annotation reference"/>
    <w:rsid w:val="00AE7DE1"/>
    <w:rPr>
      <w:sz w:val="16"/>
      <w:szCs w:val="16"/>
    </w:rPr>
  </w:style>
  <w:style w:type="paragraph" w:styleId="CommentText">
    <w:name w:val="annotation text"/>
    <w:basedOn w:val="Normal"/>
    <w:link w:val="CommentTextChar"/>
    <w:rsid w:val="00AE7DE1"/>
    <w:pPr>
      <w:spacing w:after="0" w:line="240" w:lineRule="auto"/>
    </w:pPr>
    <w:rPr>
      <w:rFonts w:ascii="Times New Roman" w:eastAsia="Times New Roman" w:hAnsi="Times New Roman" w:cs="Times New Roman"/>
      <w:sz w:val="20"/>
      <w:szCs w:val="20"/>
      <w:lang w:eastAsia="en-CA"/>
    </w:rPr>
  </w:style>
  <w:style w:type="character" w:customStyle="1" w:styleId="CommentTextChar">
    <w:name w:val="Comment Text Char"/>
    <w:basedOn w:val="DefaultParagraphFont"/>
    <w:link w:val="CommentText"/>
    <w:rsid w:val="00AE7DE1"/>
    <w:rPr>
      <w:rFonts w:ascii="Times New Roman" w:eastAsia="Times New Roman" w:hAnsi="Times New Roman" w:cs="Times New Roman"/>
      <w:sz w:val="20"/>
      <w:szCs w:val="20"/>
      <w:lang w:eastAsia="en-CA"/>
    </w:rPr>
  </w:style>
  <w:style w:type="paragraph" w:styleId="CommentSubject">
    <w:name w:val="annotation subject"/>
    <w:basedOn w:val="CommentText"/>
    <w:next w:val="CommentText"/>
    <w:link w:val="CommentSubjectChar"/>
    <w:rsid w:val="00AE7DE1"/>
    <w:rPr>
      <w:b/>
      <w:bCs/>
    </w:rPr>
  </w:style>
  <w:style w:type="character" w:customStyle="1" w:styleId="CommentSubjectChar">
    <w:name w:val="Comment Subject Char"/>
    <w:basedOn w:val="CommentTextChar"/>
    <w:link w:val="CommentSubject"/>
    <w:rsid w:val="00AE7DE1"/>
    <w:rPr>
      <w:rFonts w:ascii="Times New Roman" w:eastAsia="Times New Roman" w:hAnsi="Times New Roman" w:cs="Times New Roman"/>
      <w:b/>
      <w:bCs/>
      <w:sz w:val="20"/>
      <w:szCs w:val="20"/>
      <w:lang w:eastAsia="en-CA"/>
    </w:rPr>
  </w:style>
  <w:style w:type="paragraph" w:styleId="ListParagraph">
    <w:name w:val="List Paragraph"/>
    <w:basedOn w:val="Normal"/>
    <w:uiPriority w:val="34"/>
    <w:qFormat/>
    <w:rsid w:val="00AE7DE1"/>
    <w:pPr>
      <w:spacing w:after="0" w:line="240" w:lineRule="auto"/>
      <w:ind w:left="720"/>
      <w:contextualSpacing/>
    </w:pPr>
    <w:rPr>
      <w:rFonts w:ascii="Times New Roman" w:eastAsia="Times New Roman" w:hAnsi="Times New Roman" w:cs="Times New Roman"/>
      <w:sz w:val="24"/>
      <w:szCs w:val="24"/>
      <w:lang w:eastAsia="en-CA"/>
    </w:rPr>
  </w:style>
  <w:style w:type="paragraph" w:styleId="TOCHeading">
    <w:name w:val="TOC Heading"/>
    <w:basedOn w:val="Heading1"/>
    <w:next w:val="Normal"/>
    <w:uiPriority w:val="39"/>
    <w:semiHidden/>
    <w:unhideWhenUsed/>
    <w:qFormat/>
    <w:rsid w:val="00AE7DE1"/>
    <w:pPr>
      <w:keepLines/>
      <w:spacing w:before="480" w:after="0" w:line="276" w:lineRule="auto"/>
      <w:outlineLvl w:val="9"/>
    </w:pPr>
    <w:rPr>
      <w:rFonts w:ascii="Cambria" w:eastAsiaTheme="majorEastAsia" w:hAnsi="Cambria" w:cs="Times New Roman"/>
      <w:b/>
      <w:color w:val="365F91"/>
      <w:kern w:val="0"/>
      <w:sz w:val="28"/>
      <w:szCs w:val="28"/>
      <w:lang w:val="en-US" w:eastAsia="ja-JP"/>
    </w:rPr>
  </w:style>
  <w:style w:type="paragraph" w:styleId="TOC1">
    <w:name w:val="toc 1"/>
    <w:basedOn w:val="Normal"/>
    <w:next w:val="Normal"/>
    <w:autoRedefine/>
    <w:uiPriority w:val="39"/>
    <w:unhideWhenUsed/>
    <w:rsid w:val="00AE7DE1"/>
    <w:pPr>
      <w:spacing w:after="0" w:line="24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AE7DE1"/>
    <w:pPr>
      <w:spacing w:after="0" w:line="240" w:lineRule="auto"/>
      <w:ind w:left="240"/>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3268</Words>
  <Characters>18308</Characters>
  <Application>Microsoft Office Word</Application>
  <DocSecurity>0</DocSecurity>
  <Lines>683</Lines>
  <Paragraphs>152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 Adam (MGCS)</dc:creator>
  <cp:lastModifiedBy>Birrell, Adam (MGCS)</cp:lastModifiedBy>
  <cp:revision>1</cp:revision>
  <dcterms:created xsi:type="dcterms:W3CDTF">2016-12-20T18:51:00Z</dcterms:created>
  <dcterms:modified xsi:type="dcterms:W3CDTF">2016-12-20T18:56:00Z</dcterms:modified>
</cp:coreProperties>
</file>