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header.xml" ContentType="application/vnd.openxmlformats-officedocument.wordprocessingml.header+xml"/>
  <Override PartName="/word/footer.xml" ContentType="application/vnd.openxmlformats-officedocument.wordprocessingml.footer+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0EC38EA6" w:rsidP="332BD677" w:rsidRDefault="0EC38EA6" w14:paraId="09A9844B" w14:textId="62A08193">
      <w:pPr>
        <w:pStyle w:val="Normal"/>
        <w:jc w:val="center"/>
      </w:pPr>
      <w:r w:rsidR="71E70EB6">
        <w:drawing>
          <wp:inline wp14:editId="45E1D8AC" wp14:anchorId="78BA01C6">
            <wp:extent cx="3048000" cy="4572000"/>
            <wp:effectExtent l="0" t="0" r="0" b="0"/>
            <wp:docPr id="1982412844" name="" descr="Les documents des Archives publiques de l’Ontario offrent un aperçu de l’histoire du territoire que nous appelons maintenant l’Ontario. Ces cartes-éclair sont codées par couleur pour correspondre au programme d’études sociales de l’Ontario de 7e et 8e année:&#10;&#10;Géographie - Les cartes vertes utilisent des termes pour apprendre la géographie.&#10;&#10;Histoire - Les cartes bleues utilisent des termes pour étudier l’histoire.&#10;&#10;Logos des Archives publiques de l'Ontario et gouvernement de l'Ontario." title="7/8 année Études sociales Cartes-éclair."/>
            <wp:cNvGraphicFramePr>
              <a:graphicFrameLocks noChangeAspect="1"/>
            </wp:cNvGraphicFramePr>
            <a:graphic>
              <a:graphicData uri="http://schemas.openxmlformats.org/drawingml/2006/picture">
                <pic:pic>
                  <pic:nvPicPr>
                    <pic:cNvPr id="0" name=""/>
                    <pic:cNvPicPr/>
                  </pic:nvPicPr>
                  <pic:blipFill>
                    <a:blip r:embed="R0e381aed8f5c4189">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5E649140" w:rsidP="47668A30" w:rsidRDefault="5E649140" w14:paraId="6423C6C2" w14:textId="1C7CF582">
      <w:pPr>
        <w:jc w:val="center"/>
      </w:pPr>
      <w:r>
        <w:br w:type="page"/>
      </w:r>
      <w:r w:rsidR="5E512CAF">
        <w:drawing>
          <wp:inline wp14:editId="493567AD" wp14:anchorId="7E1B3F7E">
            <wp:extent cx="4572000" cy="3048000"/>
            <wp:effectExtent l="0" t="0" r="0" b="0"/>
            <wp:docPr id="195375360" name="" descr="Une photo en noir et blanc d'un homme noir, Fred H. A. Davis, et d'une femme noire, Anne Alexander, assis à un grand bureau dans un bureau. Le bureau est à droite, couvert de papiers avec un journal et une horloge. Hill a une moustache et porte une casquette plate, un costume et une cravate. Il examine un document. Alexander travaille dans une machine à écrire, portant un costume et un collier. Une ampoule pend des fils exposés au-dessus du bureau. Les murs du bureau sont décorés de papier peint en damier élaboré. À l'arrière-plan se trouve un comptoir recouvert de livres et de papiers avec quelques petites étagères à documents dessus. À gauche se trouve une porte avec un calendrier, un fanion et une affiche. À l'extrême gauche est une colonne. Le plafond est visible en haut de la photo. " title="Affaires judiciaires."/>
            <wp:cNvGraphicFramePr>
              <a:graphicFrameLocks noChangeAspect="1"/>
            </wp:cNvGraphicFramePr>
            <a:graphic>
              <a:graphicData uri="http://schemas.openxmlformats.org/drawingml/2006/picture">
                <pic:pic>
                  <pic:nvPicPr>
                    <pic:cNvPr id="0" name=""/>
                    <pic:cNvPicPr/>
                  </pic:nvPicPr>
                  <pic:blipFill>
                    <a:blip r:embed="Rbc141b191b0645dc">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175023AE" w:rsidP="47668A30" w:rsidRDefault="175023AE" w14:paraId="3A1D4928" w14:textId="44772DFA">
      <w:pPr>
        <w:jc w:val="center"/>
      </w:pPr>
      <w:r>
        <w:br w:type="page"/>
      </w:r>
      <w:r w:rsidR="4CB822AF">
        <w:drawing>
          <wp:inline wp14:editId="08B089C2" wp14:anchorId="65EA25AD">
            <wp:extent cx="4572000" cy="3048000"/>
            <wp:effectExtent l="0" t="0" r="0" b="0"/>
            <wp:docPr id="387832965" name="" descr="La direction judiciaire du gouvernement interprète le droit et supervise la justice au moyen des tribunaux. Le système juridique de l'Ontario s’est créé à la fin des années 1700, à l’image du système en Angleterre. Il a depuis connu de nombreux changements. Delos Rogest Davis fut l’un des premiers avocats noirs en Ontario. Son fils, Fred H.A. Davis (que l’on voit sur cette photographie), a exercé le droit à Amherstburg (Ontario) au début des années 1900. Ensemble, leur travail a permis d’élargir les possibilités professionnelles pour les Noirs en Ontario.&#10;&#10;M. Fred H.A. Davis et Mlle Anne Alexander, dans son cabinet d’avocat sur la rue Ramsay, Amherstburg (Ontario), 1914 (I0014679)" title="Affaires judiciaires."/>
            <wp:cNvGraphicFramePr>
              <a:graphicFrameLocks noChangeAspect="1"/>
            </wp:cNvGraphicFramePr>
            <a:graphic>
              <a:graphicData uri="http://schemas.openxmlformats.org/drawingml/2006/picture">
                <pic:pic>
                  <pic:nvPicPr>
                    <pic:cNvPr id="0" name=""/>
                    <pic:cNvPicPr/>
                  </pic:nvPicPr>
                  <pic:blipFill>
                    <a:blip r:embed="Re37247998b0f4c72">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4F8BE74F" w:rsidP="47668A30" w:rsidRDefault="4F8BE74F" w14:paraId="1FD4A771" w14:textId="2CDFAB62">
      <w:pPr>
        <w:jc w:val="center"/>
      </w:pPr>
      <w:r>
        <w:br w:type="page"/>
      </w:r>
      <w:r w:rsidR="7E1953BF">
        <w:drawing>
          <wp:inline wp14:editId="2930F93D" wp14:anchorId="0C2A0800">
            <wp:extent cx="4572000" cy="3048000"/>
            <wp:effectExtent l="0" t="0" r="0" b="0"/>
            <wp:docPr id="1339713919" name="" descr="Une photo en noir et blanc d'une femme de race blanche conduisant une meute de trois chevaux dans un champ de céréales. La femme, à gauche, porte un chapeau de soleil monté sur une moissonneuse-batteuse qui coupe et rassemble le grain, tenant le cheval règne, avec un fouet à côté d'elle. Les trois chevaux sont attelés ensemble avec des oeillères sur les yeux. Le grain remplit le premier plan tandis qu'un ciel clair est à l'arrière-plan." title="Agriculture."/>
            <wp:cNvGraphicFramePr>
              <a:graphicFrameLocks noChangeAspect="1"/>
            </wp:cNvGraphicFramePr>
            <a:graphic>
              <a:graphicData uri="http://schemas.openxmlformats.org/drawingml/2006/picture">
                <pic:pic>
                  <pic:nvPicPr>
                    <pic:cNvPr id="0" name=""/>
                    <pic:cNvPicPr/>
                  </pic:nvPicPr>
                  <pic:blipFill>
                    <a:blip r:embed="Ra1f8c846a8f848ae">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5C789EE7" w:rsidP="5C789EE7" w:rsidRDefault="5C789EE7" w14:paraId="21892A8A" w14:textId="6EDF199E">
      <w:pPr>
        <w:jc w:val="center"/>
      </w:pPr>
      <w:r>
        <w:br w:type="page"/>
      </w:r>
      <w:r w:rsidR="11DCBBFD">
        <w:drawing>
          <wp:inline wp14:editId="1B5D589A" wp14:anchorId="6C03FCBC">
            <wp:extent cx="4572000" cy="3048000"/>
            <wp:effectExtent l="0" t="0" r="0" b="0"/>
            <wp:docPr id="536346315" name="" descr="L’agriculture, l’art et la science de la préparation du sol pour planter, cultiver les cultures et élever le bétail, a toujours inclus la participation des femmes. Les femmes ont joué un rôle essentiel dans les fermes de l’Ontario en effectuant des tâches comme récolter les cultures, élever les poulets, nourrir et traire les vaches, produire le beurre, les produits frais et autres produits, et plus encore. Établis à l’origine en 1897 comme façon de partager les connaissances domestiques entre les femmes sur les fermes, les Instituts des femmes se sont éventuellement unis pour représenter les voix de nombreuses femmes des milieux ruraux dans l’ensemble de la province.&#10;&#10;Femme conduisant une moissonneuse-lieuse tirée par des chevaux, entre 1900 et 1920 (I0014240)  " title="Agriculture."/>
            <wp:cNvGraphicFramePr>
              <a:graphicFrameLocks noChangeAspect="1"/>
            </wp:cNvGraphicFramePr>
            <a:graphic>
              <a:graphicData uri="http://schemas.openxmlformats.org/drawingml/2006/picture">
                <pic:pic>
                  <pic:nvPicPr>
                    <pic:cNvPr id="0" name=""/>
                    <pic:cNvPicPr/>
                  </pic:nvPicPr>
                  <pic:blipFill>
                    <a:blip r:embed="R238a7ecce1474f75">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70ED52EB" w14:textId="5A8EB873">
      <w:pPr>
        <w:jc w:val="center"/>
      </w:pPr>
      <w:r>
        <w:br w:type="page"/>
      </w:r>
      <w:r w:rsidR="29CBBA81">
        <w:drawing>
          <wp:inline wp14:editId="59458241" wp14:anchorId="3405589B">
            <wp:extent cx="3048000" cy="4572000"/>
            <wp:effectExtent l="0" t="0" r="0" b="0"/>
            <wp:docPr id="1671499048" name="" descr="Une photo en noir et blanc d'une maison au toit incliné le long d'une route de gravier. La maison est au centre de l'image. La partie principale de la maison est composée de deux étages avec des ailes d'un étage de chaque côté. Chaque section du bâtiment a une cheminée. Une pelouse se trouve entre la maison et la route, qui tourne de droite à gauche. À gauche, un autre bâtiment, tandis qu'à droite, un grand arbre. Il y a un ciel clair en arrière-plan." title="Chemin de fer clandestin."/>
            <wp:cNvGraphicFramePr>
              <a:graphicFrameLocks noChangeAspect="1"/>
            </wp:cNvGraphicFramePr>
            <a:graphic>
              <a:graphicData uri="http://schemas.openxmlformats.org/drawingml/2006/picture">
                <pic:pic>
                  <pic:nvPicPr>
                    <pic:cNvPr id="0" name=""/>
                    <pic:cNvPicPr/>
                  </pic:nvPicPr>
                  <pic:blipFill>
                    <a:blip r:embed="Re9b79a93c468402b">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251E33D8" w14:textId="5E39F968">
      <w:pPr>
        <w:jc w:val="center"/>
      </w:pPr>
      <w:r>
        <w:br w:type="page"/>
      </w:r>
      <w:r w:rsidR="78B5A9E1">
        <w:drawing>
          <wp:inline wp14:editId="08FF06CE" wp14:anchorId="1763C47D">
            <wp:extent cx="3048000" cy="4572000"/>
            <wp:effectExtent l="0" t="0" r="0" b="0"/>
            <wp:docPr id="1479652270" name="" descr="Le chemin de fer clandestin—qui n’était pas un vrai chemin de fer—était un réseau de trajets secrets, d’abris (endroits où se cacher) et guides ayant aidé plus de 30 000 esclaves de race noire du Sud des États-Unis à fuir vers la liberté dans le Nord des États-Unis et au Canada à la suite de l'adoption de la Loi des esclaves fugitifs de 1793. La maison Park à Colchester-Sud (Ontario) fut l’un des abris pour les réfugiés de l’esclavage arrivant au Canada de l’est du Michigan avant l’abolition de l’esclavage par les États-Unis en 1865.&#10;&#10;Maison Park, Colchester-Sud, un refuge pour esclave durant les années 1800, vers 1950 (I0024851)" title="Chemin de fer clandestin."/>
            <wp:cNvGraphicFramePr>
              <a:graphicFrameLocks noChangeAspect="1"/>
            </wp:cNvGraphicFramePr>
            <a:graphic>
              <a:graphicData uri="http://schemas.openxmlformats.org/drawingml/2006/picture">
                <pic:pic>
                  <pic:nvPicPr>
                    <pic:cNvPr id="0" name=""/>
                    <pic:cNvPicPr/>
                  </pic:nvPicPr>
                  <pic:blipFill>
                    <a:blip r:embed="R67ee9a147e944d6a">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236AA98F" w14:textId="5238ED91">
      <w:pPr>
        <w:jc w:val="center"/>
      </w:pPr>
      <w:r>
        <w:br w:type="page"/>
      </w:r>
      <w:r w:rsidR="321F924E">
        <w:drawing>
          <wp:inline wp14:editId="24609CFB" wp14:anchorId="18379EC8">
            <wp:extent cx="4572000" cy="3048000"/>
            <wp:effectExtent l="0" t="0" r="0" b="0"/>
            <wp:docPr id="1533988631" name="" descr="Une photo en noir et blanc de sept hommes de race blanche moustachus dans un fort militaire. De gauche à droite: un soldat portant une casquette militaire et un uniforme; un homme portant des bottes hautes tenant son fedora sur ses genoux est assis sur une chaise; un homme aux cheveux blancs habillé de façon informelle est assis les mains jointes, les jambes croisées sur le sol; un autre homme portant des bottes tenant son fedora est assis sur une chaise; un autre homme assis sur une chaise; un autre soldat se tient; et un autre homme portant une cravate est assis les mains jointes, les jambes croisées sur le sol. Ils sont disposés devant un mât battant l'Union Jack et une tente. À l'arrière-plan, quatre autres tentes et une clôture en bois." title="Colonisation."/>
            <wp:cNvGraphicFramePr>
              <a:graphicFrameLocks noChangeAspect="1"/>
            </wp:cNvGraphicFramePr>
            <a:graphic>
              <a:graphicData uri="http://schemas.openxmlformats.org/drawingml/2006/picture">
                <pic:pic>
                  <pic:nvPicPr>
                    <pic:cNvPr id="0" name=""/>
                    <pic:cNvPicPr/>
                  </pic:nvPicPr>
                  <pic:blipFill>
                    <a:blip r:embed="R8d97ebf386284b68">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14285CC3" w14:textId="39F5CDAB">
      <w:pPr>
        <w:jc w:val="center"/>
      </w:pPr>
      <w:r>
        <w:br w:type="page"/>
      </w:r>
      <w:r w:rsidR="3ED7C185">
        <w:drawing>
          <wp:inline wp14:editId="28173A0A" wp14:anchorId="63B13D8A">
            <wp:extent cx="4572000" cy="3048000"/>
            <wp:effectExtent l="0" t="0" r="0" b="0"/>
            <wp:docPr id="2037865229" name="" descr="La colonisation est l’acte ou le processus visant à s’établir parmi les populations autochtones vivant dans une région et à instaurer un contrôle sur elles. En Ontario, les colons et les gouvernements se sont servis de traités pour pousser les populations autochtones hors de leurs territoires traditionnels et promouvoir l’exploitation des ressources. Cette photographie montre les commissaires qui ont apporté le Traité no 9 aux collectivités des Premières Nations des régions avoisinant le bassin versant de la baie James afin qu’elles le signent en 1905-1906. &#10;&#10;Les commissaires – Fort Albany, 3 août 1905  &#10;(I0010627) " title="Colonisation."/>
            <wp:cNvGraphicFramePr>
              <a:graphicFrameLocks noChangeAspect="1"/>
            </wp:cNvGraphicFramePr>
            <a:graphic>
              <a:graphicData uri="http://schemas.openxmlformats.org/drawingml/2006/picture">
                <pic:pic>
                  <pic:nvPicPr>
                    <pic:cNvPr id="0" name=""/>
                    <pic:cNvPicPr/>
                  </pic:nvPicPr>
                  <pic:blipFill>
                    <a:blip r:embed="Rd851031475ca4899">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03B411C6" w14:textId="57779EC2">
      <w:pPr>
        <w:jc w:val="center"/>
      </w:pPr>
      <w:r>
        <w:br w:type="page"/>
      </w:r>
      <w:r w:rsidR="31095F02">
        <w:drawing>
          <wp:inline wp14:editId="177949B0" wp14:anchorId="68722DB6">
            <wp:extent cx="3048000" cy="4572000"/>
            <wp:effectExtent l="0" t="0" r="0" b="0"/>
            <wp:docPr id="661519887" name="" descr="Une numérisation couleur d'un certificat imprimé. Le certificat comporte un mélange d'éléments préimprimés, manuscrits et estampillés. Une illustration et un texte dessinés à la main sont imprimés, ainsi que des lettres remplies dans des espaces vides sur le certificat. Il se lit comme suit: « No 7140. Province d'Ontario. Certificat de localisation. Sous 1 Edward VII., Cap 6. Ceci est pour certifier que Charles Green Bonnycastle ayant servi en tant que soldat dans l'infanterie Campbellford en Ontario 1866 à l'occasion du Fenian Raid est autorisé à pénétrer et à occuper la moitié sud du lot Numéro Onze dans la troisième concession du canton de Murphy contenant 161 acres, située le vingt-neuvième jour de mai 1905 en vertu et sous réserve des dispositions de la Loi. Donné sous ma main à Toronto, le 13 septembre 1905. F. Cochrane Commission des terres de la Couronne. Ministre des Terres et des Mines. » L'illustration représente des soldats du Caucase en uniforme complet: un ranger et deux soldats en tenue différente. Derrière eux se trouvent des dessins de divers autres soldats en uniformes différents, certains à cheval, certains avec de gros fusils et une infirmière avec un chariot médical. En haut du certificat se trouvent les armoiries de l'Ontario. La bordure est constituée d'illustrations de feuilles d'érable." title="Concession de terre."/>
            <wp:cNvGraphicFramePr>
              <a:graphicFrameLocks noChangeAspect="1"/>
            </wp:cNvGraphicFramePr>
            <a:graphic>
              <a:graphicData uri="http://schemas.openxmlformats.org/drawingml/2006/picture">
                <pic:pic>
                  <pic:nvPicPr>
                    <pic:cNvPr id="0" name=""/>
                    <pic:cNvPicPr/>
                  </pic:nvPicPr>
                  <pic:blipFill>
                    <a:blip r:embed="Ra97ab294aba34a9e">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05877A13" w14:textId="5BC3E853">
      <w:pPr>
        <w:jc w:val="center"/>
      </w:pPr>
      <w:r>
        <w:br w:type="page"/>
      </w:r>
      <w:r w:rsidR="2D811860">
        <w:drawing>
          <wp:inline wp14:editId="48C63DFE" wp14:anchorId="28CA63F0">
            <wp:extent cx="3048000" cy="4572000"/>
            <wp:effectExtent l="0" t="0" r="0" b="0"/>
            <wp:docPr id="523811212" name="" descr="Une concession de terre est le don d’un bien immobilier (une terre ou ses privilèges d’utilisation) fait par un gouvernement ou une autre autorité. Souvent, les concessions de terres étaient attribuées pour service militaire rendu. Entre 1866 et 1871, de nombreux Canadiens ont combattu les Fenians—des nationalistes irlandais aux États-Unis, qui organisaient des raids contre le Canada pour faire pression auprès du gouvernement britannique afin qu’il se retire de l’Irlande. Les Ontariens ayant servi durant les raids des Fenians étaient admissibles à environ 160 acres de terre de la Couronne.&#10;&#10;Certificat de localisation de la terre concédée à Charles Bonnycastle, raids des Fenians, 13 septembre 1905 (I0055338)" title="Concession de terre."/>
            <wp:cNvGraphicFramePr>
              <a:graphicFrameLocks noChangeAspect="1"/>
            </wp:cNvGraphicFramePr>
            <a:graphic>
              <a:graphicData uri="http://schemas.openxmlformats.org/drawingml/2006/picture">
                <pic:pic>
                  <pic:nvPicPr>
                    <pic:cNvPr id="0" name=""/>
                    <pic:cNvPicPr/>
                  </pic:nvPicPr>
                  <pic:blipFill>
                    <a:blip r:embed="R665cee16b0f745db">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15D9A6CB" w14:textId="5EDD0CD9">
      <w:pPr>
        <w:jc w:val="center"/>
      </w:pPr>
      <w:r>
        <w:br w:type="page"/>
      </w:r>
      <w:r w:rsidR="38E65915">
        <w:drawing>
          <wp:inline wp14:editId="0A8F5E57" wp14:anchorId="1B288089">
            <wp:extent cx="4572000" cy="3048000"/>
            <wp:effectExtent l="0" t="0" r="0" b="0"/>
            <wp:docPr id="343115836" name="" descr="Une peinture en couleur de 34 hommes de race blanche réunis dans une grande pièce autour d'une table centrale, drapée dans une nappe rouge. La plupart sont assis, bien que 11 d'entre eux soient debout. Quelques hommes sont assis à une petite table à gauche. Ils sont tous habillés de façon formelle, arborant des coiffures du milieu du 19e siècle, y compris beaucoup de favoris et de moustaches. Au centre, le premier premier ministre du Canada, John A. MacDonald, tient un morceau de papier. Le père de la Confédération de l’Ontario, George Brown, s’accroche à une chaise, à droite. Trois grandes fenêtres à volets multiples avec des sommets arqués apparaissent en arrière-plan avec des rideaux verts entre eux." title="Confédération."/>
            <wp:cNvGraphicFramePr>
              <a:graphicFrameLocks noChangeAspect="1"/>
            </wp:cNvGraphicFramePr>
            <a:graphic>
              <a:graphicData uri="http://schemas.openxmlformats.org/drawingml/2006/picture">
                <pic:pic>
                  <pic:nvPicPr>
                    <pic:cNvPr id="0" name=""/>
                    <pic:cNvPicPr/>
                  </pic:nvPicPr>
                  <pic:blipFill>
                    <a:blip r:embed="Rbbd2957073354783">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5C93EA70" w14:textId="7C2DBB40">
      <w:pPr>
        <w:jc w:val="center"/>
      </w:pPr>
      <w:r>
        <w:br w:type="page"/>
      </w:r>
      <w:r w:rsidR="724E471D">
        <w:drawing>
          <wp:inline wp14:editId="70B2D1AB" wp14:anchorId="59F2DF55">
            <wp:extent cx="4572000" cy="3048000"/>
            <wp:effectExtent l="0" t="0" r="0" b="0"/>
            <wp:docPr id="1426014865" name="" descr="La Confédération est le processus ayant conduit à la formation du Canada (autrefois le Dominion du Canada) en unissant les colonies britanniques de la province Canada (aujourd’hui l’Ontario et le Québec), la Nouvelle-Écosse et le Nouveau-Brunswick. Les leaders politiques et colonisateurs—les « pères de la Confédération »—entreprirent en 1864 des négociations qui menèrent à l’adoption de l’Acte de l'Amérique du Nord britannique, créant ainsi le nouveau Dominion du Canada le 1er juillet 1867. Depuis la Confédération, le pays s’est agrandi et compte maintenant dix provinces et trois territoires.&#10;&#10;Les pères de la Confédération de Frederick Spronston Challener [1917-1919] (AC605057)" title="Confédération."/>
            <wp:cNvGraphicFramePr>
              <a:graphicFrameLocks noChangeAspect="1"/>
            </wp:cNvGraphicFramePr>
            <a:graphic>
              <a:graphicData uri="http://schemas.openxmlformats.org/drawingml/2006/picture">
                <pic:pic>
                  <pic:nvPicPr>
                    <pic:cNvPr id="0" name=""/>
                    <pic:cNvPicPr/>
                  </pic:nvPicPr>
                  <pic:blipFill>
                    <a:blip r:embed="R483a3733003c446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00D404AE" w14:textId="193E9FDB">
      <w:pPr>
        <w:jc w:val="center"/>
      </w:pPr>
      <w:r>
        <w:br w:type="page"/>
      </w:r>
      <w:r w:rsidR="1A108065">
        <w:drawing>
          <wp:inline wp14:editId="05DF9135" wp14:anchorId="7584BC12">
            <wp:extent cx="4572000" cy="3048000"/>
            <wp:effectExtent l="0" t="0" r="0" b="0"/>
            <wp:docPr id="781094590" name="" descr="Une photo en noir et blanc montrant un gros tas de grumes empilées en un gros tas de plusieurs mètres de haut. Deux hommes de race blanche, portant des vêtements sombres et des bonnets en tissu, sont assis au-dessus des bûches avec un petit chien blanc. Derrière le tas de grumes, des pins peuvent être vus en arrière-plan." title="Déforestation."/>
            <wp:cNvGraphicFramePr>
              <a:graphicFrameLocks noChangeAspect="1"/>
            </wp:cNvGraphicFramePr>
            <a:graphic>
              <a:graphicData uri="http://schemas.openxmlformats.org/drawingml/2006/picture">
                <pic:pic>
                  <pic:nvPicPr>
                    <pic:cNvPr id="0" name=""/>
                    <pic:cNvPicPr/>
                  </pic:nvPicPr>
                  <pic:blipFill>
                    <a:blip r:embed="Rd17e664fd6674352">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32AD5A83" w14:textId="29E0ED29">
      <w:pPr>
        <w:jc w:val="center"/>
      </w:pPr>
      <w:r>
        <w:br w:type="page"/>
      </w:r>
      <w:r w:rsidR="2D4EC221">
        <w:drawing>
          <wp:inline wp14:editId="1B67AA35" wp14:anchorId="0CC2ACDE">
            <wp:extent cx="4572000" cy="3048000"/>
            <wp:effectExtent l="0" t="0" r="0" b="0"/>
            <wp:docPr id="104047422" name="" descr=" La déforestation—la coupe à blanc des arbres—convertit de façon permanente les forêts à d’autres usages, par exemple l’agriculture, le développement urbain, le transport et l’industrie. Souvent le résultat de l’activité humaine, la déforestation peut aussi se produire dans le cadre d’événements naturels, par exemple des feux de forêt. Le fait d’enlever des arbres sans en replanter provoque des dommages à l’habitat, une perte de la biodiversité et des changements climatiques. Dans le Sud de l'Ontario, les forêts sont principalement perdues en raison du développement et de l’agriculture, tandis que dans le Nord de l'Ontario, elles sont souvent perdues en raison de la construction de routes forestières permanentes et de l’exploitation minière.&#10;&#10;Des hommes assis sur des billes empilées en un gros tas avant que les billes ne soient flottées vers le moulin, près de Spanish River, district d'Algoma, [1902] (I0003297)" title="Déforestation."/>
            <wp:cNvGraphicFramePr>
              <a:graphicFrameLocks noChangeAspect="1"/>
            </wp:cNvGraphicFramePr>
            <a:graphic>
              <a:graphicData uri="http://schemas.openxmlformats.org/drawingml/2006/picture">
                <pic:pic>
                  <pic:nvPicPr>
                    <pic:cNvPr id="0" name=""/>
                    <pic:cNvPicPr/>
                  </pic:nvPicPr>
                  <pic:blipFill>
                    <a:blip r:embed="Rd18fb5c49d7a4a60">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72145A59" w14:textId="23EE2E30">
      <w:pPr>
        <w:jc w:val="center"/>
      </w:pPr>
      <w:r>
        <w:br w:type="page"/>
      </w:r>
      <w:r w:rsidR="0C9F6BB7">
        <w:drawing>
          <wp:inline wp14:editId="6324C7A3" wp14:anchorId="1D2350C7">
            <wp:extent cx="4572000" cy="3048000"/>
            <wp:effectExtent l="0" t="0" r="0" b="0"/>
            <wp:docPr id="860869845" name="" descr="Une photo en noir et blanc d'Henry Kechebra, un homme Oji-Cree assis sur un grand arbre en bois flotté, entre autres, sur une plage surplombant un lac. Kechebra est à gauche, coiffé d'un chapeau à couronne ouverte avec un ruban, une chemise à col et un pantalon. Il fait face au côté gauche de la photo et regarde la plage. Un lac est en arrière-plan, avec une ligne d'arbre et un horizon de ciel nuageux." title="Déplacement."/>
            <wp:cNvGraphicFramePr>
              <a:graphicFrameLocks noChangeAspect="1"/>
            </wp:cNvGraphicFramePr>
            <a:graphic>
              <a:graphicData uri="http://schemas.openxmlformats.org/drawingml/2006/picture">
                <pic:pic>
                  <pic:nvPicPr>
                    <pic:cNvPr id="0" name=""/>
                    <pic:cNvPicPr/>
                  </pic:nvPicPr>
                  <pic:blipFill>
                    <a:blip r:embed="R45ec0a245f3c43c3">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195D44A8" w14:textId="4B336AFC">
      <w:pPr>
        <w:jc w:val="center"/>
      </w:pPr>
      <w:r>
        <w:br w:type="page"/>
      </w:r>
      <w:r w:rsidR="3F6A94AA">
        <w:drawing>
          <wp:inline wp14:editId="398CE33D" wp14:anchorId="1E0BE366">
            <wp:extent cx="4572000" cy="3048000"/>
            <wp:effectExtent l="0" t="0" r="0" b="0"/>
            <wp:docPr id="59514475" name="" descr="Un déplacement forcé se produit lorsque des gens doivent quitter leur patrie contre leur gré. Dans les années 1920, les membres de la Première Nation de Mattagami ont dû abandonner leurs résidences sur les rives du lac Mattagami lorsque le projet hydroélectrique de la Northern Canada Power Company a inondé la région. Lorsque les résidents demandèrent une compensation pour la perte de leurs résidences et de leurs terres traditionnelles, la compagnie offrit un paiement unique de 3 500 $. En 1952, le gouvernement fédéral ajouta de nouvelles terres à la réserve, et les personnes déplacées de la Première Nation de Mattagami construisirent de nouvelles maisons.&#10;&#10;Henry Kechebra, un aîné de la réserve de Mattagami, sur le lieu de l’ancien poste de traite de Fort Mattagami sur les rives du lac Mattagami, 1958 (I0000130)" title="Déplacement."/>
            <wp:cNvGraphicFramePr>
              <a:graphicFrameLocks noChangeAspect="1"/>
            </wp:cNvGraphicFramePr>
            <a:graphic>
              <a:graphicData uri="http://schemas.openxmlformats.org/drawingml/2006/picture">
                <pic:pic>
                  <pic:nvPicPr>
                    <pic:cNvPr id="0" name=""/>
                    <pic:cNvPicPr/>
                  </pic:nvPicPr>
                  <pic:blipFill>
                    <a:blip r:embed="R98f9dec2a89949d2">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3D63D390" w14:textId="36F8992C">
      <w:pPr>
        <w:jc w:val="center"/>
      </w:pPr>
      <w:r>
        <w:br w:type="page"/>
      </w:r>
      <w:r w:rsidR="6F5573F2">
        <w:drawing>
          <wp:inline wp14:editId="28145656" wp14:anchorId="2DFE749C">
            <wp:extent cx="4572000" cy="3048000"/>
            <wp:effectExtent l="0" t="0" r="0" b="0"/>
            <wp:docPr id="373036259" name="" descr="Une photo en noir et blanc de Mark Sing, un homme asiatique debout derrière un comptoir de magasin en bois. Sing porte un pull boutonné sans col et les bras écartés derrière le comptoir nu. À gauche en arrière-plan, un rideau bas et sombre. Au centre se trouvent principalement des étagères vides, bien que les étagères à droite contiennent plusieurs emballages emballés dans du papier. À droite, un calendrier et une lampe ornée." title="Entrepreneur."/>
            <wp:cNvGraphicFramePr>
              <a:graphicFrameLocks noChangeAspect="1"/>
            </wp:cNvGraphicFramePr>
            <a:graphic>
              <a:graphicData uri="http://schemas.openxmlformats.org/drawingml/2006/picture">
                <pic:pic>
                  <pic:nvPicPr>
                    <pic:cNvPr id="0" name=""/>
                    <pic:cNvPicPr/>
                  </pic:nvPicPr>
                  <pic:blipFill>
                    <a:blip r:embed="Re4ec293c50024cd2">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5C789EE7" w:rsidP="5C789EE7" w:rsidRDefault="5C789EE7" w14:paraId="174EC106" w14:textId="0AB62519">
      <w:pPr>
        <w:jc w:val="center"/>
      </w:pPr>
      <w:r>
        <w:br w:type="page"/>
      </w:r>
      <w:r w:rsidR="14A79DA2">
        <w:drawing>
          <wp:inline wp14:editId="03D94D3C" wp14:anchorId="517DB59A">
            <wp:extent cx="4572000" cy="3048000"/>
            <wp:effectExtent l="0" t="0" r="0" b="0"/>
            <wp:docPr id="576552415" name="" descr="Les entrepreneurs sont des gens qui organisent, exploitent et assument les risques d’une entreprise. En trouvant de nouveaux marchés et en recherchant des façons innovantes et rentables de faire des affaires, les entrepreneurs ont aidé l’économie de l'Ontario à s’adapter et à croître. Les collections des Archives publiques de l'Ontario comprennent des documents de petites et grandes entreprises en Ontario, allant de la chaîne de grands magasins Eaton’s à la buanderie de Mark Sing à Cobourg.&#10;&#10;Mark Sing, Buanderie, Cobourg (Ontario), mars 1910 (I0007413)" title="Entrepreneur."/>
            <wp:cNvGraphicFramePr>
              <a:graphicFrameLocks noChangeAspect="1"/>
            </wp:cNvGraphicFramePr>
            <a:graphic>
              <a:graphicData uri="http://schemas.openxmlformats.org/drawingml/2006/picture">
                <pic:pic>
                  <pic:nvPicPr>
                    <pic:cNvPr id="0" name=""/>
                    <pic:cNvPicPr/>
                  </pic:nvPicPr>
                  <pic:blipFill>
                    <a:blip r:embed="Rd01fc19501ef4ee6">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099A5816" w14:textId="0F05D1AF">
      <w:pPr>
        <w:jc w:val="center"/>
      </w:pPr>
      <w:r>
        <w:br w:type="page"/>
      </w:r>
      <w:r w:rsidR="53127D9D">
        <w:drawing>
          <wp:inline wp14:editId="029FC693" wp14:anchorId="0387E85B">
            <wp:extent cx="3048000" cy="4572000"/>
            <wp:effectExtent l="0" t="0" r="0" b="0"/>
            <wp:docPr id="339706804" name="" descr="Une photo couleur d'un empilement, un relief géologique composé d'une colonne rocheuse raide et verticale près de la côte, formée par l'érosion des vagues. La pile est au moins haute de trois étages, étroite et escarpée. La pile apparaît au centre, tandis que l'eau de la baie est à sa droite. À gauche, trois Caucasiens aux cheveux bruns sur un affleurement rocheux qui semblent très petits par rapport à la pile. Un homme vêtu de kaki photographie deux femmes posant de profil. La femme à gauche s'agenouille dans une jupe verte et un chemisier blanc sans manches. Nous ne pouvons pas voir son visage. L'autre femme se tient avec un pantalon vert, un pull blanc et un mouchoir coloré noué autour de sa tête. En arrière-plan, un ciel bleu nuageux." title="Érosion."/>
            <wp:cNvGraphicFramePr>
              <a:graphicFrameLocks noChangeAspect="1"/>
            </wp:cNvGraphicFramePr>
            <a:graphic>
              <a:graphicData uri="http://schemas.openxmlformats.org/drawingml/2006/picture">
                <pic:pic>
                  <pic:nvPicPr>
                    <pic:cNvPr id="0" name=""/>
                    <pic:cNvPicPr/>
                  </pic:nvPicPr>
                  <pic:blipFill>
                    <a:blip r:embed="R79b3e666a01c4396">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42B3EEFA" w14:textId="28263752">
      <w:pPr>
        <w:jc w:val="center"/>
      </w:pPr>
      <w:r>
        <w:br w:type="page"/>
      </w:r>
      <w:r w:rsidR="79250780">
        <w:drawing>
          <wp:inline wp14:editId="6FAFDE75" wp14:anchorId="08CF2AB2">
            <wp:extent cx="3048000" cy="4572000"/>
            <wp:effectExtent l="0" t="0" r="0" b="0"/>
            <wp:docPr id="1042239582" name="" descr="Une photo couleur d'un empilement, un relief géologique composé d'une colonne rocheuse raide et verticale près de la côte, formée par l'érosion des vagues. La pile est au moins haute de trois étages, étroite et escarpée. La pile apparaît au centre, tandis que l'eau de la baie est à sa droite. À gauche, trois Caucasiens aux cheveux bruns sur un affleurement rocheux qui semblent très petits par rapport à la pile. Un homme vêtu de kaki photographie deux femmes posant de profil. La femme à gauche s'agenouille dans une jupe verte et un chemisier blanc sans manches. Nous ne pouvons pas voir son visage. L'autre femme se tient avec un pantalon vert, un pull blanc et un mouchoir coloré noué autour de sa tête. En arrière-plan, un ciel bleu nuageux.&#10;&#10;Île Flowerpot, baie Georgienne (Ontario), 1953 (I0005559)" title="Érosion."/>
            <wp:cNvGraphicFramePr>
              <a:graphicFrameLocks noChangeAspect="1"/>
            </wp:cNvGraphicFramePr>
            <a:graphic>
              <a:graphicData uri="http://schemas.openxmlformats.org/drawingml/2006/picture">
                <pic:pic>
                  <pic:nvPicPr>
                    <pic:cNvPr id="0" name=""/>
                    <pic:cNvPicPr/>
                  </pic:nvPicPr>
                  <pic:blipFill>
                    <a:blip r:embed="R38e973b468214594">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5ED47245" w14:textId="433162DC">
      <w:pPr>
        <w:jc w:val="center"/>
      </w:pPr>
      <w:r>
        <w:br w:type="page"/>
      </w:r>
      <w:r w:rsidR="24D595D1">
        <w:drawing>
          <wp:inline wp14:editId="62C63A82" wp14:anchorId="25ED0CDF">
            <wp:extent cx="4572000" cy="3048000"/>
            <wp:effectExtent l="0" t="0" r="0" b="0"/>
            <wp:docPr id="95612524" name="" descr="Une photo couleur d'une mine à ciel ouvert en terre rouge. La carrière profonde à plusieurs étages a des couches de niveau de haut en bas pour que les véhicules puissent entrer et sortir. Cinq camions à benne basculante apparaissent au fond dans une niche boueuse. Plusieurs autres véhicules et machines retirent la terre de la fosse. Le long des côtés de la carrière se trouvent des collections ou des roches de pierre brisées. Des flaques d'eau rouges parsèment les différentes couches. " title="Exploitation minière."/>
            <wp:cNvGraphicFramePr>
              <a:graphicFrameLocks noChangeAspect="1"/>
            </wp:cNvGraphicFramePr>
            <a:graphic>
              <a:graphicData uri="http://schemas.openxmlformats.org/drawingml/2006/picture">
                <pic:pic>
                  <pic:nvPicPr>
                    <pic:cNvPr id="0" name=""/>
                    <pic:cNvPicPr/>
                  </pic:nvPicPr>
                  <pic:blipFill>
                    <a:blip r:embed="Rbcea826b975b4f1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01BBF8FF" w:rsidP="01BBF8FF" w:rsidRDefault="01BBF8FF" w14:paraId="017C8B22" w14:textId="2B5A2D91">
      <w:pPr>
        <w:jc w:val="center"/>
      </w:pPr>
      <w:r>
        <w:br w:type="page"/>
      </w:r>
      <w:r w:rsidR="02017724">
        <w:drawing>
          <wp:inline wp14:editId="0A351169" wp14:anchorId="71DAE312">
            <wp:extent cx="4572000" cy="3048000"/>
            <wp:effectExtent l="0" t="0" r="0" b="0"/>
            <wp:docPr id="846156072" name="" descr="L’exploitation minière consiste à recueillir des minéraux précieux ou utiles du sol. De 1944 à 1979, la mine Steep Rock près d’Atikokan, sur le territoire du Traité no 3—le territoire traditionnel des Saulteaux (Ojibway)—a fourni du fer pour à peu près tout, des avions de la Deuxième Guerre mondiale aux grille-plains, en passant par les clous. La construction de la mine a nécessité le retrait de plus de sédiments du lac Steep Rock que la quantité de matériaux déplacés pour créer le canal de Panama original, et ses activités ont dévasté le milieu naturel de la région.&#10;&#10;Mine Steep Rock, Atikokan (Ontario), 1953 (I0005562)" title="Exploitation minière."/>
            <wp:cNvGraphicFramePr>
              <a:graphicFrameLocks noChangeAspect="1"/>
            </wp:cNvGraphicFramePr>
            <a:graphic>
              <a:graphicData uri="http://schemas.openxmlformats.org/drawingml/2006/picture">
                <pic:pic>
                  <pic:nvPicPr>
                    <pic:cNvPr id="0" name=""/>
                    <pic:cNvPicPr/>
                  </pic:nvPicPr>
                  <pic:blipFill>
                    <a:blip r:embed="R644405ad57ca444c">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71907904" w14:textId="4A2F498A">
      <w:pPr>
        <w:jc w:val="center"/>
      </w:pPr>
      <w:r>
        <w:br w:type="page"/>
      </w:r>
      <w:r w:rsidR="11F7549A">
        <w:drawing>
          <wp:inline wp14:editId="3E530698" wp14:anchorId="3CF4CF89">
            <wp:extent cx="4572000" cy="3048000"/>
            <wp:effectExtent l="0" t="0" r="0" b="0"/>
            <wp:docPr id="341843145" name="" descr="Une photo en noir et blanc d'une rivière. À gauche, l'herbe. En arrière-plan et à droite, des peuplements de grands arbres. La rivière se courbe dans l'image dirigée de gauche à droite depuis l'horizon des arbres. La rivière continue à droite. Au premier plan à droite se trouve une tente de fortune ou un morceau de tissu suspendu à des poteaux." title="Forêt boréale."/>
            <wp:cNvGraphicFramePr>
              <a:graphicFrameLocks noChangeAspect="1"/>
            </wp:cNvGraphicFramePr>
            <a:graphic>
              <a:graphicData uri="http://schemas.openxmlformats.org/drawingml/2006/picture">
                <pic:pic>
                  <pic:nvPicPr>
                    <pic:cNvPr id="0" name=""/>
                    <pic:cNvPicPr/>
                  </pic:nvPicPr>
                  <pic:blipFill>
                    <a:blip r:embed="R227dcbc625e849e8">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53EE1DBA" w14:textId="799D4C54">
      <w:pPr>
        <w:jc w:val="center"/>
      </w:pPr>
      <w:r>
        <w:br w:type="page"/>
      </w:r>
      <w:r w:rsidR="0FC18D39">
        <w:drawing>
          <wp:inline wp14:editId="581235E3" wp14:anchorId="12DF5DB0">
            <wp:extent cx="4572000" cy="3048000"/>
            <wp:effectExtent l="0" t="0" r="0" b="0"/>
            <wp:docPr id="301675245" name="" descr="La forêt boréale de l’Ontario est la plus importante région forestière en Ontario et au Canada. Elle s’étend des limites nord de la forêt des Grands Lacs et du Saint-Laurent jusqu’aux basses terres de la baie d’Hudson. L’épinette noire et l’épinette blanche, le pin gris, le sapin baumier, le mélèze laricin, le thuya occidental, le peuplier et le bouleau blanc dominent la région. La faune diversifiée de la région comprend l’ours noir, le loup, le lynx, l’orignal, le caribou, de nombreux oiseaux et de petits mammifères comme la martre commune, le lièvre, le renard roux et le porc-épic.&#10;&#10;Rivière Abitibi - de New Post, vers 1905 (I0010572)" title="Forêt boréale."/>
            <wp:cNvGraphicFramePr>
              <a:graphicFrameLocks noChangeAspect="1"/>
            </wp:cNvGraphicFramePr>
            <a:graphic>
              <a:graphicData uri="http://schemas.openxmlformats.org/drawingml/2006/picture">
                <pic:pic>
                  <pic:nvPicPr>
                    <pic:cNvPr id="0" name=""/>
                    <pic:cNvPicPr/>
                  </pic:nvPicPr>
                  <pic:blipFill>
                    <a:blip r:embed="Recdbf41368d84ad4">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375F08DF" w14:textId="3FB93F7B">
      <w:pPr>
        <w:jc w:val="center"/>
      </w:pPr>
      <w:r>
        <w:br w:type="page"/>
      </w:r>
      <w:r w:rsidR="4EF31BD9">
        <w:drawing>
          <wp:inline wp14:editId="1BEAE2D3" wp14:anchorId="6AA6F5AA">
            <wp:extent cx="3048000" cy="4572000"/>
            <wp:effectExtent l="0" t="0" r="0" b="0"/>
            <wp:docPr id="1252678591" name="" descr="Une photo couleur d'un homme Oji-cri, William Moore, travaillant sur un panier d'écorce de bouleau. Moore a les cheveux chauves de sel et de poivre et porte une chemise à col blanc avec un tablier patiné sur le dessus. Il regarde son travail, tenant le panier dans une main tout en utilisant un outil de sculpture sur le panier avec l'autre. Il est assis sur des escaliers en bois devant une porte avec un autre outil de sculpture sur son genou. Au fond, une porte ouverte et les lattes de bois peintes en blanc d'un immeuble." title="Gardien du savoir."/>
            <wp:cNvGraphicFramePr>
              <a:graphicFrameLocks noChangeAspect="1"/>
            </wp:cNvGraphicFramePr>
            <a:graphic>
              <a:graphicData uri="http://schemas.openxmlformats.org/drawingml/2006/picture">
                <pic:pic>
                  <pic:nvPicPr>
                    <pic:cNvPr id="0" name=""/>
                    <pic:cNvPicPr/>
                  </pic:nvPicPr>
                  <pic:blipFill>
                    <a:blip r:embed="R74a52153f8584bc9">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64812814" w14:textId="43D109E4">
      <w:pPr>
        <w:jc w:val="center"/>
      </w:pPr>
      <w:r>
        <w:br w:type="page"/>
      </w:r>
      <w:r w:rsidR="5A47D577">
        <w:drawing>
          <wp:inline wp14:editId="14CC45B7" wp14:anchorId="48979CC9">
            <wp:extent cx="3048000" cy="4572000"/>
            <wp:effectExtent l="0" t="0" r="0" b="0"/>
            <wp:docPr id="808572102" name="" descr="Les Gardiens du savoir jouent un rôle important pour préserver l’artisanat traditionnel, les activités, langues, cérémonies et croyances autochtones. Leur savoir est souvent acquis et transmis au moyen d’expériences vécues, de récits et de pratiques. Les paniers en écorce de bouleau, comme celui fabriqué par William Moore de la réserve de Mattagami, sont des objets culturels importants pour les Ojibway en Ontario; ils sont fabriqués en plusieurs grosseurs et sont utilisés pour cuisiner, recueillir des baies, transporter de l’eau et même pour enterrer les morts.&#10;&#10;William Moore, un artisan ojibwé de la réserve de Mattagami près de Gogama (Ontario), travaillant sur un panier d’écorce de bouleau, 1957 (I0012656)" title="Gardien du savoir."/>
            <wp:cNvGraphicFramePr>
              <a:graphicFrameLocks noChangeAspect="1"/>
            </wp:cNvGraphicFramePr>
            <a:graphic>
              <a:graphicData uri="http://schemas.openxmlformats.org/drawingml/2006/picture">
                <pic:pic>
                  <pic:nvPicPr>
                    <pic:cNvPr id="0" name=""/>
                    <pic:cNvPicPr/>
                  </pic:nvPicPr>
                  <pic:blipFill>
                    <a:blip r:embed="R82a3b6d6cf9d42a9">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285A8486" w14:textId="700D0E45">
      <w:pPr>
        <w:jc w:val="center"/>
      </w:pPr>
      <w:r>
        <w:br w:type="page"/>
      </w:r>
      <w:r w:rsidR="42681707">
        <w:drawing>
          <wp:inline wp14:editId="23E1DFA4" wp14:anchorId="66C0FFEF">
            <wp:extent cx="4572000" cy="3048000"/>
            <wp:effectExtent l="0" t="0" r="0" b="0"/>
            <wp:docPr id="1479992013" name="" descr="Une photo couleur de 28 hommes, femmes et enfants de race noire, blanche et métisse, posant dans une robe formelle des années 1960. Divers parents de tous âges apparaissent sur la photo. Ils sont sur une pelouse verte devant un haut mur d'arbustes." title="Génération."/>
            <wp:cNvGraphicFramePr>
              <a:graphicFrameLocks noChangeAspect="1"/>
            </wp:cNvGraphicFramePr>
            <a:graphic>
              <a:graphicData uri="http://schemas.openxmlformats.org/drawingml/2006/picture">
                <pic:pic>
                  <pic:nvPicPr>
                    <pic:cNvPr id="0" name=""/>
                    <pic:cNvPicPr/>
                  </pic:nvPicPr>
                  <pic:blipFill>
                    <a:blip r:embed="Ra095de6d28cc42dc">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66D800AD" w14:textId="168235D8">
      <w:pPr>
        <w:jc w:val="center"/>
      </w:pPr>
      <w:r>
        <w:br w:type="page"/>
      </w:r>
      <w:r w:rsidR="617BB5C5">
        <w:drawing>
          <wp:inline wp14:editId="56D81A19" wp14:anchorId="56384685">
            <wp:extent cx="4572000" cy="3048000"/>
            <wp:effectExtent l="0" t="0" r="0" b="0"/>
            <wp:docPr id="1600244355" name="" descr="Les descendants successifs d’une famille forment des générations. Cette photo montre trois générations de la famille Hill. Daniel Hill II et May Edwards Hill forment le couple de personnes âgées assises. Leur fils, Daniel G. Hill (rangée arrière, au centre) fut le premier directeur de la Commission ontarienne des droits de la personne. Ses enfants, Dan (rangée arrière, sixième à partir de la gauche), Lawrence (assis, troisième à partir de la droite) et Karen (assise à l’extrémité gauche) devinrent des personnalités éminentes du milieu des arts.&#10;&#10;Daniel G. Hill Jr. et May Edwards Hill à leur 50e anniversaire de mariage, 1967 (I0027967)" title="Génération."/>
            <wp:cNvGraphicFramePr>
              <a:graphicFrameLocks noChangeAspect="1"/>
            </wp:cNvGraphicFramePr>
            <a:graphic>
              <a:graphicData uri="http://schemas.openxmlformats.org/drawingml/2006/picture">
                <pic:pic>
                  <pic:nvPicPr>
                    <pic:cNvPr id="0" name=""/>
                    <pic:cNvPicPr/>
                  </pic:nvPicPr>
                  <pic:blipFill>
                    <a:blip r:embed="R69f807301ac944ea">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2242D9C9" w14:textId="48747961">
      <w:pPr>
        <w:jc w:val="center"/>
      </w:pPr>
      <w:r>
        <w:br w:type="page"/>
      </w:r>
      <w:r w:rsidR="41538F97">
        <w:drawing>
          <wp:inline wp14:editId="0608D643" wp14:anchorId="31DA63CD">
            <wp:extent cx="4572000" cy="3048000"/>
            <wp:effectExtent l="0" t="0" r="0" b="0"/>
            <wp:docPr id="175842336" name="" descr="Une photo en noir et blanc de neuf femmes de race blanche qui protestaient à l'extérieur. Les femmes portent des vêtements d'hiver. Ils tiennent des pancartes apposées sur des poignées en bois ou ont des pancartes suspendues au-dessus de leur tête qui pendent sur le devant de leur corps. Une femme est obscurcie et seule sa main tenant une pancarte est visible. Leurs pancartes manuscrites indiquaient: « On Strike, Unfair Bargaining »; « Improved Status for Nursing Teachers »; « Happiness is High Wages »; « Nurse-Teachers Need Support »; « Let's Negotiate for Nursing »; et « Nurse Teachers on Strike ». Quelques signes sont illisibles car il y a des signes devant eux. Les femmes marchent sur un chemin en herbe. Ils sont en face d'un complexe de bâtiments en brique rectangulaire. Un panneau à l'extérieur du bâtiment apposé sur deux poteaux en bois indique: « Hamilton &amp; District School of Nursing »." title="Grèves."/>
            <wp:cNvGraphicFramePr>
              <a:graphicFrameLocks noChangeAspect="1"/>
            </wp:cNvGraphicFramePr>
            <a:graphic>
              <a:graphicData uri="http://schemas.openxmlformats.org/drawingml/2006/picture">
                <pic:pic>
                  <pic:nvPicPr>
                    <pic:cNvPr id="0" name=""/>
                    <pic:cNvPicPr/>
                  </pic:nvPicPr>
                  <pic:blipFill>
                    <a:blip r:embed="Rc4ccafd65d1d4074">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3994EC3C" w14:textId="68867062">
      <w:pPr>
        <w:jc w:val="center"/>
      </w:pPr>
      <w:r>
        <w:br w:type="page"/>
      </w:r>
      <w:r w:rsidR="735F8F10">
        <w:drawing>
          <wp:inline wp14:editId="110E82DC" wp14:anchorId="43AEB23F">
            <wp:extent cx="4572000" cy="3048000"/>
            <wp:effectExtent l="0" t="0" r="0" b="0"/>
            <wp:docPr id="1009008356" name="" descr="Une grève est une fermeture collective et organisée ou un ralentissement provoqué par les employés pour exhorter leur employeur à répondre à leurs demandes. En 1969, alors qu’un grand nombre de femmes adhéraient à des syndicats et luttaient pour l’égalité des droits dans la main-d'œuvre, les infirmières autorisées déclenchèrent la grève à Hamilton. Leur détermination pour obtenir une reconnaissance et de meilleurs salaires et conditions de travail menèrent à la création de l’Association des infirmières et infirmiers de l'Ontario en 1973, une alliance comptant plus de 100 syndicats d’infirmières et infirmiers.&#10;&#10;Association des infirmières autorisées de l'Ontario en grève à Hamilton, 1969 (I0013843)" title="Grèves."/>
            <wp:cNvGraphicFramePr>
              <a:graphicFrameLocks noChangeAspect="1"/>
            </wp:cNvGraphicFramePr>
            <a:graphic>
              <a:graphicData uri="http://schemas.openxmlformats.org/drawingml/2006/picture">
                <pic:pic>
                  <pic:nvPicPr>
                    <pic:cNvPr id="0" name=""/>
                    <pic:cNvPicPr/>
                  </pic:nvPicPr>
                  <pic:blipFill>
                    <a:blip r:embed="R13379ec728d543ef">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0B46210D" w14:textId="7BD61D35">
      <w:pPr>
        <w:jc w:val="center"/>
      </w:pPr>
      <w:r>
        <w:br w:type="page"/>
      </w:r>
      <w:r w:rsidR="6F9E5F8B">
        <w:drawing>
          <wp:inline wp14:editId="706F3E5F" wp14:anchorId="6C050F53">
            <wp:extent cx="4572000" cy="3048000"/>
            <wp:effectExtent l="0" t="0" r="0" b="0"/>
            <wp:docPr id="1014644537" name="" descr="Une photo en noir et blanc d'au moins vingt hommes et garçons autochtones dans une cour. Tous sont assis à l'exception du chef Missabay qui tient un long bâton à droite. Il porte un chapeau à bord, une chemise à col rayé blanche avec une ceinture tissée et un pantalon sombre sous une longue veste. Il est moustachu et ses yeux sont fermés. Les autres portent un mélange de chemises à col et de gilets. Les jeunes sont assis à l'arrière le long d'une clôture en bois. La plupart des assemblés sont sur l'herbe, mais certains sont sur une couverture, dont deux hommes qui fument de leurs pipes respectives. Divers assiettes et bols sont également sur la couverture. D'autres clôtures de piquetage, une petite maison et une haute clôture en bois avec une porte y apparaissent derrière eux, avec le ciel et les arbres plus loin en arrière-plan." title="Histoire orale."/>
            <wp:cNvGraphicFramePr>
              <a:graphicFrameLocks noChangeAspect="1"/>
            </wp:cNvGraphicFramePr>
            <a:graphic>
              <a:graphicData uri="http://schemas.openxmlformats.org/drawingml/2006/picture">
                <pic:pic>
                  <pic:nvPicPr>
                    <pic:cNvPr id="0" name=""/>
                    <pic:cNvPicPr/>
                  </pic:nvPicPr>
                  <pic:blipFill>
                    <a:blip r:embed="R1b064cf5a3a44e2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2F2F0944" w14:textId="1AAE793A">
      <w:pPr>
        <w:jc w:val="center"/>
      </w:pPr>
      <w:r>
        <w:br w:type="page"/>
      </w:r>
      <w:r w:rsidR="5C56434F">
        <w:drawing>
          <wp:inline wp14:editId="39D0FDD8" wp14:anchorId="1216F122">
            <wp:extent cx="4572000" cy="3048000"/>
            <wp:effectExtent l="0" t="0" r="0" b="0"/>
            <wp:docPr id="1372372859" name="" descr="L’histoire orale est formée d’histoires, chansons et souvenirs oraux utilisés pour partager de l’information sur le passé. Les histoires orales peuvent offrir un nouveau point de vue et d’autres explications, transmettre des sentiments et des émotions, et elles contribuent à préserver les dialectes et accents locaux. Elles peuvent aussi donner une voix à ceux qui ne sont pas inclus dans les histoires écrites. Les histoires parlées sont souvent une importante façon dont les croyances et les pratiques sont partagées dans les collectivités autochtones partout en Ontario.&#10;&#10;Le chef aveugle Missabay s’adressant à l’assemblée avant le festin organisé après la cérémonie de signature du Traité de la baie James, poste d’Osnaburgh, 12 juillet 1905 (I0010717)" title="Histoire orale."/>
            <wp:cNvGraphicFramePr>
              <a:graphicFrameLocks noChangeAspect="1"/>
            </wp:cNvGraphicFramePr>
            <a:graphic>
              <a:graphicData uri="http://schemas.openxmlformats.org/drawingml/2006/picture">
                <pic:pic>
                  <pic:nvPicPr>
                    <pic:cNvPr id="0" name=""/>
                    <pic:cNvPicPr/>
                  </pic:nvPicPr>
                  <pic:blipFill>
                    <a:blip r:embed="Rc608ca3377ed4229">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14D918A5" w14:textId="6EDF5096">
      <w:pPr>
        <w:jc w:val="center"/>
      </w:pPr>
      <w:r>
        <w:br w:type="page"/>
      </w:r>
      <w:r w:rsidR="54C9B89F">
        <w:drawing>
          <wp:inline wp14:editId="4DDB1761" wp14:anchorId="2A2F98B0">
            <wp:extent cx="4572000" cy="3048000"/>
            <wp:effectExtent l="0" t="0" r="0" b="0"/>
            <wp:docPr id="290125905" name="" descr="Une photo en noir et blanc de la construction d'une centrale hydroélectrique. Un bâtiment central en béton se trouve au bas d'une falaise avec un grand puits qui en sort incrusté dans la falaise vers le haut. Le bâtiment est au sommet d'une plate-forme au bord d'une voie navigable. À gauche et à droite, de plus petits bâtiments en bois parsèment le littoral. Deux remorqueurs industriels sont assis dans l'eau. Sur la rive opposée se trouvent plusieurs autres véhicules. La falaise est rocheuse, avec des arbres sur le dessus et couvrant le côté droit. Les rives sont sablonneuses. Un ciel clair plane au-dessus de la falaise en arrière-plan." title="Hydroélectricité."/>
            <wp:cNvGraphicFramePr>
              <a:graphicFrameLocks noChangeAspect="1"/>
            </wp:cNvGraphicFramePr>
            <a:graphic>
              <a:graphicData uri="http://schemas.openxmlformats.org/drawingml/2006/picture">
                <pic:pic>
                  <pic:nvPicPr>
                    <pic:cNvPr id="0" name=""/>
                    <pic:cNvPicPr/>
                  </pic:nvPicPr>
                  <pic:blipFill>
                    <a:blip r:embed="R88d73c7e61cd4a39">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24168AE5" w:rsidRDefault="6F275ACF" w14:paraId="1142856E" w14:textId="62B59BED">
      <w:pPr>
        <w:pStyle w:val="Normal"/>
        <w:jc w:val="center"/>
      </w:pPr>
      <w:r>
        <w:br w:type="page"/>
      </w:r>
      <w:r w:rsidR="40C8C45A">
        <w:drawing>
          <wp:inline wp14:editId="70C4CCFE" wp14:anchorId="55F271FD">
            <wp:extent cx="4572000" cy="3048000"/>
            <wp:effectExtent l="0" t="0" r="0" b="0"/>
            <wp:docPr id="2059003800" name="" descr="L’énergie hydroélectrique (énergie hydraulique) est une ressource renouvelable rendant l’utilisation de l’énergie en Ontario plus simple et plus sécuritaire. Les chutes DeCew, près de Thorold sur le territoire du Traité no 3—les territoires traditionnels des Haudenosaunee et Anishinaabe—furent le site de l’une des premières centrales énergétiques de la province, conçue en 1898 par la Cataract Power Company. Conçue pour générer et distribuer de l’énergie électrique à des tensions plus élevées et à de plus grandes distances que jamais auparavant, la centrale a à l’origine alimenté le tramway électrique dans la ville d’Hamilton, située à proximité.  &#10;&#10;Construction aux chutes DeCew, vers 1950 (I0019967)" title="Hydroélectricité."/>
            <wp:cNvGraphicFramePr>
              <a:graphicFrameLocks noChangeAspect="1"/>
            </wp:cNvGraphicFramePr>
            <a:graphic>
              <a:graphicData uri="http://schemas.openxmlformats.org/drawingml/2006/picture">
                <pic:pic>
                  <pic:nvPicPr>
                    <pic:cNvPr id="0" name=""/>
                    <pic:cNvPicPr/>
                  </pic:nvPicPr>
                  <pic:blipFill>
                    <a:blip r:embed="R329030f6a78f4495">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7E21FC01" w14:textId="0F4F2408">
      <w:pPr>
        <w:jc w:val="center"/>
      </w:pPr>
      <w:r>
        <w:br w:type="page"/>
      </w:r>
      <w:r w:rsidR="22A811E9">
        <w:drawing>
          <wp:inline wp14:editId="0440E1F6" wp14:anchorId="4C94ACB2">
            <wp:extent cx="4572000" cy="3048000"/>
            <wp:effectExtent l="0" t="0" r="0" b="0"/>
            <wp:docPr id="1672743072" name="" descr="Une photo en noir et blanc d'une famille caucasienne de huit personnes sur le pont d'un paquebot. Habillé de façon décontractée, assis de gauche à droite, il y a un garçon; une femme avec un garçon sur ses genoux et une tasse sur ses genoux; une femme portant des lunettes, un manteau et une écharpe tenant une tasse avec un garçon sur ses genoux; une fille plus âgée; et une jeune fille en manteau. Un homme se tient derrière eux. Des dizaines d'autres voyageurs peuvent être vus assis et debout sur le pont. À l'arrière-plan, à gauche, une pièce sur le navire, avec des escaliers menant à un autre pont. À droite, un ruban de mer et de ciel. " title="Immigration."/>
            <wp:cNvGraphicFramePr>
              <a:graphicFrameLocks noChangeAspect="1"/>
            </wp:cNvGraphicFramePr>
            <a:graphic>
              <a:graphicData uri="http://schemas.openxmlformats.org/drawingml/2006/picture">
                <pic:pic>
                  <pic:nvPicPr>
                    <pic:cNvPr id="0" name=""/>
                    <pic:cNvPicPr/>
                  </pic:nvPicPr>
                  <pic:blipFill>
                    <a:blip r:embed="R0d53b8c712c74276">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1A514F8A" w14:textId="711ECE5A">
      <w:pPr>
        <w:jc w:val="center"/>
      </w:pPr>
      <w:r>
        <w:br w:type="page"/>
      </w:r>
      <w:r w:rsidR="4D95F122">
        <w:drawing>
          <wp:inline wp14:editId="2BCD1143" wp14:anchorId="27A93D85">
            <wp:extent cx="4572000" cy="3048000"/>
            <wp:effectExtent l="0" t="0" r="0" b="0"/>
            <wp:docPr id="1608927166" name="" descr="L’immigration—le déplacement de personnes vers un pays de destination duquel elles ne sont pas originaires ou citoyennes afin de s’y établir—a contribué à forger l’Ontario. Après la fin de la Deuxième Guerre mondiale en 1945, de nombreux immigrants arrivèrent en provenance d’Europe. Un grand nombre d’entre eux pourvurent des emplois dans la fabrication et la construction, alimentant ainsi la croissance urbaine et industrielle de l’Ontario. Cette vague d’immigrants a aussi encouragé les gouvernements à adopter de nouvelles lois contre la discrimination en fonction de la race, de la religion et de l’origine dans des secteurs comme l’emploi, le logement et l’éducation. &#10;&#10;Famille hollandaise à bord du S.S. Nieuw-Amsterdam à destination du Canada, 1951 (I0004979)" title="Immigration."/>
            <wp:cNvGraphicFramePr>
              <a:graphicFrameLocks noChangeAspect="1"/>
            </wp:cNvGraphicFramePr>
            <a:graphic>
              <a:graphicData uri="http://schemas.openxmlformats.org/drawingml/2006/picture">
                <pic:pic>
                  <pic:nvPicPr>
                    <pic:cNvPr id="0" name=""/>
                    <pic:cNvPicPr/>
                  </pic:nvPicPr>
                  <pic:blipFill>
                    <a:blip r:embed="R4683d90521e14ac7">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22A81A5B" w14:textId="4376D9F2">
      <w:pPr>
        <w:jc w:val="center"/>
      </w:pPr>
      <w:r>
        <w:br w:type="page"/>
      </w:r>
      <w:r w:rsidR="4F561D07">
        <w:drawing>
          <wp:inline wp14:editId="015DA197" wp14:anchorId="68D8192B">
            <wp:extent cx="4572000" cy="3048000"/>
            <wp:effectExtent l="0" t="0" r="0" b="0"/>
            <wp:docPr id="1075858905" name="" descr="Une photo en noir et blanc d'une ville inondée. Les eaux de crue atteignent au-dessus des portes d'un restaurant, illustré à droite. Le restaurant a deux panneaux « Terminal Grill », et un panneau qui dit, « Drink Coca-Cola Refresh » entre autres. À gauche, un bloc de bâtiments de la ville peut être vu partiellement submergé lorsque les eaux de crue remplissent la rue. Au premier plan, à gauche, un bâtiment commercial de taxi partiellement submergé, tandis qu'à droite se trouvent cinq jeunes Caucasiens debout sur une colline observant la scène. Quatre sont impatients, dos à la caméra, tandis qu'un cinquième, au centre, fait face à la droite. " title="Inondation."/>
            <wp:cNvGraphicFramePr>
              <a:graphicFrameLocks noChangeAspect="1"/>
            </wp:cNvGraphicFramePr>
            <a:graphic>
              <a:graphicData uri="http://schemas.openxmlformats.org/drawingml/2006/picture">
                <pic:pic>
                  <pic:nvPicPr>
                    <pic:cNvPr id="0" name=""/>
                    <pic:cNvPicPr/>
                  </pic:nvPicPr>
                  <pic:blipFill>
                    <a:blip r:embed="R20b18470096f43a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703C2FAC" w14:textId="6EFE9B51">
      <w:pPr>
        <w:jc w:val="center"/>
      </w:pPr>
      <w:r>
        <w:br w:type="page"/>
      </w:r>
      <w:r w:rsidR="4A23B086">
        <w:drawing>
          <wp:inline wp14:editId="65E86D90" wp14:anchorId="5A95671C">
            <wp:extent cx="4572000" cy="3048000"/>
            <wp:effectExtent l="0" t="0" r="0" b="0"/>
            <wp:docPr id="1131675740" name="" descr="Une inondation se produit lorsque l’eau déborde envahit temporairement une terre habituellement sèche. Brampton est construite près du ruisseau Etobicoke, qui déborde souvent à la fonte des neiges au printemps, provoquant ainsi les nombreuses inondations qu’a connues la ville dans les années 1800 et 1900. L’une des pires inondations vécues par Brampton est survenue le 17 mars 1948 et a recouvert le centre-ville de quelque 1,83 mètre d’eau. Un projet visant à détourner le ruisseau Etobicoke, achevé en novembre 1951, a contribué à prévenir de telles inondations désastreuses. &#10;&#10;Scène d’inondation, Brampton, 1948 (I0002788)" title="Inondation."/>
            <wp:cNvGraphicFramePr>
              <a:graphicFrameLocks noChangeAspect="1"/>
            </wp:cNvGraphicFramePr>
            <a:graphic>
              <a:graphicData uri="http://schemas.openxmlformats.org/drawingml/2006/picture">
                <pic:pic>
                  <pic:nvPicPr>
                    <pic:cNvPr id="0" name=""/>
                    <pic:cNvPicPr/>
                  </pic:nvPicPr>
                  <pic:blipFill>
                    <a:blip r:embed="Ra735f18c927b4f6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74D162CB" w14:textId="5BA8D310">
      <w:pPr>
        <w:jc w:val="center"/>
      </w:pPr>
      <w:r>
        <w:br w:type="page"/>
      </w:r>
      <w:r w:rsidR="71BC0B51">
        <w:drawing>
          <wp:inline wp14:editId="265123E8" wp14:anchorId="40E9842B">
            <wp:extent cx="3048000" cy="4572000"/>
            <wp:effectExtent l="0" t="0" r="0" b="0"/>
            <wp:docPr id="323672479" name="" descr="Une photo en gros plan en noir et blanc de Marie Rauter examinant les aiguilles d'un pin rouge. Rauter est à poil court, blonde et de race blanche. Elle sourit, vêtue d'une chemise blanche à manches retroussées." title="Intendance."/>
            <wp:cNvGraphicFramePr>
              <a:graphicFrameLocks noChangeAspect="1"/>
            </wp:cNvGraphicFramePr>
            <a:graphic>
              <a:graphicData uri="http://schemas.openxmlformats.org/drawingml/2006/picture">
                <pic:pic>
                  <pic:nvPicPr>
                    <pic:cNvPr id="0" name=""/>
                    <pic:cNvPicPr/>
                  </pic:nvPicPr>
                  <pic:blipFill>
                    <a:blip r:embed="Re50a36c43b1e4dcc">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534194C6" w14:textId="00B763E7">
      <w:pPr>
        <w:jc w:val="center"/>
      </w:pPr>
      <w:r>
        <w:br w:type="page"/>
      </w:r>
      <w:r w:rsidR="52680417">
        <w:drawing>
          <wp:inline wp14:editId="68799B49" wp14:anchorId="3E76A50C">
            <wp:extent cx="3048000" cy="4572000"/>
            <wp:effectExtent l="0" t="0" r="0" b="0"/>
            <wp:docPr id="714158848" name="" descr="L’intendance est la gestion prudente et responsable de quelque chose—souvent notre environnement et nos ressources naturelles. En tant que forestière, Marie Rauter est montrée sur cette photo en train de prendre soin de la santé des forêts de l'Ontario. Son travail inclut des responsabilités comme protéger les forêts contre les insectes, les maladies et les incendies; gérer la coupe et la vente de bois d'œuvre; préparer des plans pour planter et cultiver des arbres; améliorer l’habitat de nombreuses espèces.&#10;&#10;Marie Rauter – Marie Rauter - Forestière, brochure You're A What? [Vous êtes une  quoi?] [détail], 1966-1971 (I0073858)" title="Intendance."/>
            <wp:cNvGraphicFramePr>
              <a:graphicFrameLocks noChangeAspect="1"/>
            </wp:cNvGraphicFramePr>
            <a:graphic>
              <a:graphicData uri="http://schemas.openxmlformats.org/drawingml/2006/picture">
                <pic:pic>
                  <pic:nvPicPr>
                    <pic:cNvPr id="0" name=""/>
                    <pic:cNvPicPr/>
                  </pic:nvPicPr>
                  <pic:blipFill>
                    <a:blip r:embed="R53e2c71a9ce744df">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3EF885B8" w14:textId="3D1E9BC0">
      <w:pPr>
        <w:jc w:val="center"/>
      </w:pPr>
      <w:r>
        <w:br w:type="page"/>
      </w:r>
      <w:r w:rsidR="7022D5AB">
        <w:drawing>
          <wp:inline wp14:editId="583BDDE4" wp14:anchorId="4E98C4A4">
            <wp:extent cx="3048000" cy="4572000"/>
            <wp:effectExtent l="0" t="0" r="0" b="0"/>
            <wp:docPr id="704548801" name="" descr="Une photo couleur d'un homme de race blanche dans un potiron. L'homme, à gauche, est chauve avec des cheveux gris et des lunettes portant un manteau bleu avec des rayures rouges à l'intérieur de la capuche, sur une chemise et un pantalon bleu. La citrouille, au centre, est énorme et orange. L'homme est entouré par les grandes feuilles et fleurs du patch." title="Irrigation."/>
            <wp:cNvGraphicFramePr>
              <a:graphicFrameLocks noChangeAspect="1"/>
            </wp:cNvGraphicFramePr>
            <a:graphic>
              <a:graphicData uri="http://schemas.openxmlformats.org/drawingml/2006/picture">
                <pic:pic>
                  <pic:nvPicPr>
                    <pic:cNvPr id="0" name=""/>
                    <pic:cNvPicPr/>
                  </pic:nvPicPr>
                  <pic:blipFill>
                    <a:blip r:embed="R7388f61384af4242">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20A7B488" w14:textId="4F7900A9">
      <w:pPr>
        <w:jc w:val="center"/>
      </w:pPr>
      <w:r>
        <w:br w:type="page"/>
      </w:r>
      <w:r w:rsidR="22ACDD08">
        <w:drawing>
          <wp:inline wp14:editId="41676E75" wp14:anchorId="1DBE1961">
            <wp:extent cx="3048000" cy="4572000"/>
            <wp:effectExtent l="0" t="0" r="0" b="0"/>
            <wp:docPr id="842490270" name="" descr="L’irrigation est le processus d’arroser les cultures en y apportant de l’eau en se servant de méthodes ou de systèmes d’origine humaine—y compris des tuyaux, canaux et gicleurs—plutôt que de compter uniquement sur les précipitations. L’irrigation permet de produire des cultures dans des régions où il ne pleut pas beaucoup et aide les agriculteurs à fournir un approvisionnement alimentaire stable. Sans l’irrigation pour fournir suffisamment d’eau au sol, l’agriculteur sur cette photo n’aurait pas été en mesure de cultiver sa citrouille géante!&#10;&#10;Homme photographié avec une citrouille géante, 1984 (I0004615)" title="Irrigation."/>
            <wp:cNvGraphicFramePr>
              <a:graphicFrameLocks noChangeAspect="1"/>
            </wp:cNvGraphicFramePr>
            <a:graphic>
              <a:graphicData uri="http://schemas.openxmlformats.org/drawingml/2006/picture">
                <pic:pic>
                  <pic:nvPicPr>
                    <pic:cNvPr id="0" name=""/>
                    <pic:cNvPicPr/>
                  </pic:nvPicPr>
                  <pic:blipFill>
                    <a:blip r:embed="R1a97627551164607">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3EE4B156" w14:textId="0F6C7929">
      <w:pPr>
        <w:jc w:val="center"/>
      </w:pPr>
      <w:r>
        <w:br w:type="page"/>
      </w:r>
      <w:r w:rsidR="348B3F29">
        <w:drawing>
          <wp:inline wp14:editId="78DD9C43" wp14:anchorId="30ED6BEE">
            <wp:extent cx="4572000" cy="3048000"/>
            <wp:effectExtent l="0" t="0" r="0" b="0"/>
            <wp:docPr id="1075687593" name="" descr="Une photo en noir et blanc d'un homme de race blanche posé devant quatre grands fours à charbon. L'homme a les cheveux foncés et porte une combinaison. Une main est sur sa taille tandis que l'autre tient un tuyau relié au deuxième four par la gauche. Les fours sont surmontés d'une jauge, ont de grandes portes doubles avec deux portes en dessous et encore deux portes en dessous. Certaines des portes les plus basses sont ouvertes, y compris le four le plus à droite, qui a une pelle devant. De gros tas de charbon sont par terre. Des murs de briques blanches peuvent être vus de chaque côté des fours tandis que du métal riveté tapisse leurs sommets." title="Non renouvelable."/>
            <wp:cNvGraphicFramePr>
              <a:graphicFrameLocks noChangeAspect="1"/>
            </wp:cNvGraphicFramePr>
            <a:graphic>
              <a:graphicData uri="http://schemas.openxmlformats.org/drawingml/2006/picture">
                <pic:pic>
                  <pic:nvPicPr>
                    <pic:cNvPr id="0" name=""/>
                    <pic:cNvPicPr/>
                  </pic:nvPicPr>
                  <pic:blipFill>
                    <a:blip r:embed="R58b7663f16604413">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595922D5" w14:textId="6DE21ECF">
      <w:pPr>
        <w:jc w:val="center"/>
      </w:pPr>
      <w:r>
        <w:br w:type="page"/>
      </w:r>
      <w:r w:rsidR="28842B8B">
        <w:drawing>
          <wp:inline wp14:editId="0196E9CC" wp14:anchorId="4260D884">
            <wp:extent cx="4572000" cy="3048000"/>
            <wp:effectExtent l="0" t="0" r="0" b="0"/>
            <wp:docPr id="19364151" name="" descr="Les ressources non renouvelables sont limitées en quantité et ne peuvent être remplacées une fois qu’elles ont été utilisées. Les combustibles fossiles comme le charbon, le pétrole et le gaz naturel en sont des exemples courants. Une fois brûlés, les combustibles fossiles fournissent de l’énergie, mais le processus libère des gaz à effet de serre qui polluent l’environnement et contribuent aux changements climatiques. Afin de réduire les émissions de gaz à effet de serre, l'Ontario a fermé sa dernière centrale alimentée au charbon en 2014 et a banni de façon permanente la production d’électricité au charbon en 2015.&#10;&#10;Travailleur s’occupant de chaudières à charbon [entre 1900 et 1920] (I0009310)" title="Non renouvelable."/>
            <wp:cNvGraphicFramePr>
              <a:graphicFrameLocks noChangeAspect="1"/>
            </wp:cNvGraphicFramePr>
            <a:graphic>
              <a:graphicData uri="http://schemas.openxmlformats.org/drawingml/2006/picture">
                <pic:pic>
                  <pic:nvPicPr>
                    <pic:cNvPr id="0" name=""/>
                    <pic:cNvPicPr/>
                  </pic:nvPicPr>
                  <pic:blipFill>
                    <a:blip r:embed="R391bb784ffb14dc5">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59AC9304" w14:textId="25509321">
      <w:pPr>
        <w:jc w:val="center"/>
      </w:pPr>
      <w:r>
        <w:br w:type="page"/>
      </w:r>
      <w:r w:rsidR="314617D1">
        <w:drawing>
          <wp:inline wp14:editId="410ED16A" wp14:anchorId="6B2F74AF">
            <wp:extent cx="4572000" cy="3048000"/>
            <wp:effectExtent l="0" t="0" r="0" b="0"/>
            <wp:docPr id="1837696387" name="" descr="Une photo en noir et blanc de plusieurs bâtiments en bois entourés d'arbres et de champs. Devant la photo, des plants de pommes de terre poussent. À gauche, sortant du champ, se dresse un peuplement de grands arbres. Un bâtiment de trois étages se trouve au centre de la photo. Il est sonné par un porche au premier étage et un balcon au deuxième. Le bâtiment a un toit incliné et une tour qui en sort avec une girouette au-dessus. Les autres bâtiments sont de plus petits bâtiments de deux étages avec des toits inclinés. En arrière-plan, une ligne d'arbre et un ciel nuageux." title="Pensionnats indiens."/>
            <wp:cNvGraphicFramePr>
              <a:graphicFrameLocks noChangeAspect="1"/>
            </wp:cNvGraphicFramePr>
            <a:graphic>
              <a:graphicData uri="http://schemas.openxmlformats.org/drawingml/2006/picture">
                <pic:pic>
                  <pic:nvPicPr>
                    <pic:cNvPr id="0" name=""/>
                    <pic:cNvPicPr/>
                  </pic:nvPicPr>
                  <pic:blipFill>
                    <a:blip r:embed="R86229750f3044cc0">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5C789EE7" w:rsidP="5C789EE7" w:rsidRDefault="5C789EE7" w14:paraId="171267FF" w14:textId="04BD8637">
      <w:pPr>
        <w:jc w:val="center"/>
      </w:pPr>
      <w:r>
        <w:br w:type="page"/>
      </w:r>
      <w:r w:rsidR="49DC121B">
        <w:drawing>
          <wp:inline wp14:editId="12D05C15" wp14:anchorId="78BE540E">
            <wp:extent cx="4572000" cy="3048000"/>
            <wp:effectExtent l="0" t="0" r="0" b="0"/>
            <wp:docPr id="1732530929" name="" descr="Les pensionnats indiens étaient des pensionnats obligatoires pour les enfants autochtones financés par le gouvernement canadien et dirigés par les églises. Le pensionnat indien Moose Fort, renommé plus tard École Bishop Horden, fut l’un des 15 pensionnats indiens en Ontario. Créées en vertu de la Loi sur les Indiens de 1876, ces écoles restèrent en activité jusqu’en 1996. À titre d’outils de colonisation et de génocide, elles séparèrent les enfants autochtones de leurs familles, langues et traditions, et les exposèrent à la maltraitance. Les 94 appels à l’action de la Commission de vérité et de réconciliation ont été publiés en 2015 pour aborder l’impact durable des pensionnats indiens sur les survivants, leurs descendants et les collectivités.&#10;&#10;[Pensionnat indien Moose Fort], Moose Factory, 1920 (I0055879)" title="Pensionnats indiens."/>
            <wp:cNvGraphicFramePr>
              <a:graphicFrameLocks noChangeAspect="1"/>
            </wp:cNvGraphicFramePr>
            <a:graphic>
              <a:graphicData uri="http://schemas.openxmlformats.org/drawingml/2006/picture">
                <pic:pic>
                  <pic:nvPicPr>
                    <pic:cNvPr id="0" name=""/>
                    <pic:cNvPicPr/>
                  </pic:nvPicPr>
                  <pic:blipFill>
                    <a:blip r:embed="R4a3467ed0dce4ff6">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74274185" w14:textId="358C38CD">
      <w:pPr>
        <w:jc w:val="center"/>
      </w:pPr>
      <w:r>
        <w:br w:type="page"/>
      </w:r>
      <w:r w:rsidR="7FC1AD53">
        <w:drawing>
          <wp:inline wp14:editId="5C59BEC1" wp14:anchorId="15EA135C">
            <wp:extent cx="4572000" cy="3048000"/>
            <wp:effectExtent l="0" t="0" r="0" b="0"/>
            <wp:docPr id="1494408895" name="" descr="Une photo couleur d'une peinture rupestre. À gauche, une silhouette rouille d'une personne à cheval est peinte sur un gros rocher. Ci-dessous, deux ensembles de deux cercles rouille sont également peints sur la roche. Sous les cercles se trouvent deux lignes rouges incurvées et parallèles. Des marques rouges plus pâles se trouvent à droite de l'image du cavalier. " title="Pictogramme."/>
            <wp:cNvGraphicFramePr>
              <a:graphicFrameLocks noChangeAspect="1"/>
            </wp:cNvGraphicFramePr>
            <a:graphic>
              <a:graphicData uri="http://schemas.openxmlformats.org/drawingml/2006/picture">
                <pic:pic>
                  <pic:nvPicPr>
                    <pic:cNvPr id="0" name=""/>
                    <pic:cNvPicPr/>
                  </pic:nvPicPr>
                  <pic:blipFill>
                    <a:blip r:embed="Rd9ce8417e78342c9">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5C789EE7" w:rsidP="5C789EE7" w:rsidRDefault="5C789EE7" w14:paraId="5B661059" w14:textId="7BD213D1">
      <w:pPr>
        <w:jc w:val="center"/>
      </w:pPr>
      <w:r>
        <w:br w:type="page"/>
      </w:r>
      <w:r w:rsidR="1113CE10">
        <w:drawing>
          <wp:inline wp14:editId="5CF11792" wp14:anchorId="101F442E">
            <wp:extent cx="4572000" cy="3048000"/>
            <wp:effectExtent l="0" t="0" r="0" b="0"/>
            <wp:docPr id="1875946565" name="" descr="Les pictogrammes sont des peintures rupestres réalisées en appliquant un pigment (habituellement de l’ocre rouge) à l’aide d’un doigt ou d’un pinceau. L’Ontario compte des centaines d’emplacements de pictogrammes autochtones, y compris Mazinaubikiniguning (« le rocher ornée sur le lac Agawa » en ojibway) dans le parc provincial du Lac-Supérieur sur le territoire du Traité Robinson-Supérieur, qui présente des pictogrammes possiblement des 17e et 18e siècles. Certains croient que le chef ojibwé Shingwaukonse (1773-1854) a dessiné ce pictogramme d’un cavalier au rocher Agawa pour représenter son pouvoir en tant que shaman ou pour commémorer une expédition guerrière.&#10;&#10;Pictogramme sur rocher à la baie Agawa, vers 1965 (I0012696)" title="Pictogramme."/>
            <wp:cNvGraphicFramePr>
              <a:graphicFrameLocks noChangeAspect="1"/>
            </wp:cNvGraphicFramePr>
            <a:graphic>
              <a:graphicData uri="http://schemas.openxmlformats.org/drawingml/2006/picture">
                <pic:pic>
                  <pic:nvPicPr>
                    <pic:cNvPr id="0" name=""/>
                    <pic:cNvPicPr/>
                  </pic:nvPicPr>
                  <pic:blipFill>
                    <a:blip r:embed="Rd153124a891d4e2d">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1D2A983C" w14:textId="1E552BDD">
      <w:pPr>
        <w:jc w:val="center"/>
      </w:pPr>
      <w:r>
        <w:br w:type="page"/>
      </w:r>
      <w:r w:rsidR="0F5818D6">
        <w:drawing>
          <wp:inline wp14:editId="79063EDC" wp14:anchorId="7643A178">
            <wp:extent cx="4572000" cy="3048000"/>
            <wp:effectExtent l="0" t="0" r="0" b="0"/>
            <wp:docPr id="1299398642" name="" descr="Un homme de race blanche souriant se trouve dans un enclos à cochons regardant vers le bas, couvert de dix porcelets. L'homme moustachu est à droite, portant une casquette plate à carreaux, une chemise en jean à col boutonné, une salopette, des bottes de travail et des gants, tenant une canne dans la main droite. Les porcelets à fourrure rampent sur lui et sont pour la plupart noirs, certains avec des taches blanches. Ils sont en paille devant une cloison en lattes de bois." title="Qualité de vie."/>
            <wp:cNvGraphicFramePr>
              <a:graphicFrameLocks noChangeAspect="1"/>
            </wp:cNvGraphicFramePr>
            <a:graphic>
              <a:graphicData uri="http://schemas.openxmlformats.org/drawingml/2006/picture">
                <pic:pic>
                  <pic:nvPicPr>
                    <pic:cNvPr id="0" name=""/>
                    <pic:cNvPicPr/>
                  </pic:nvPicPr>
                  <pic:blipFill>
                    <a:blip r:embed="Rcc4645e4c5114c6c">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36EEA81D" w14:textId="0C2F6B27">
      <w:pPr>
        <w:jc w:val="center"/>
      </w:pPr>
      <w:r>
        <w:br w:type="page"/>
      </w:r>
      <w:r w:rsidR="08FBB819">
        <w:drawing>
          <wp:inline wp14:editId="3E81E5DC" wp14:anchorId="0563779A">
            <wp:extent cx="4572000" cy="3048000"/>
            <wp:effectExtent l="0" t="0" r="0" b="0"/>
            <wp:docPr id="1247917037" name="" descr="La qualité de vie est l’évaluation que fait une personne de son bien-être en général. Elle est influencée de façon complexe par l’état de santé physique, l’état psychologique, les croyances personnelles, les relations sociales d’une personne et les relations qu’elle entretient avec son milieu. Elle peut faire référence à la façon dont une personne vit sa vie et aux conditions dans lesquelles elle se trouve. S’amuser avec des animaux mignons, comme cet homme couvert de porcelets sur cette photographie, peut certainement améliorer votre qualité de vie!&#10;&#10;État de l’Indiana, vers 1909-1930 (I0033809)" title="Qualité de vie."/>
            <wp:cNvGraphicFramePr>
              <a:graphicFrameLocks noChangeAspect="1"/>
            </wp:cNvGraphicFramePr>
            <a:graphic>
              <a:graphicData uri="http://schemas.openxmlformats.org/drawingml/2006/picture">
                <pic:pic>
                  <pic:nvPicPr>
                    <pic:cNvPr id="0" name=""/>
                    <pic:cNvPicPr/>
                  </pic:nvPicPr>
                  <pic:blipFill>
                    <a:blip r:embed="Re8025ceb00f54c4c">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5C6496E6" w14:textId="71F6C513">
      <w:pPr>
        <w:jc w:val="center"/>
      </w:pPr>
      <w:r>
        <w:br w:type="page"/>
      </w:r>
      <w:r w:rsidR="0FE3B927">
        <w:drawing>
          <wp:inline wp14:editId="625853CE" wp14:anchorId="33646C2A">
            <wp:extent cx="4572000" cy="3048000"/>
            <wp:effectExtent l="0" t="0" r="0" b="0"/>
            <wp:docPr id="1414222903" name="" descr="Deux photographies en couleur du recto et du verso d'une bannière en tissu rouge avec du texte blanc peint à la main. La bannière du haut, sur le devant, se lit comme suit: « BIDWELL and the GLORIOUS MANORITY [sic MINORITY] » et « 1837 and A GOOD BEGINNING ». La bannière inférieure et arrière a deux feuilles dessinées dessus et se lit comme suit: « VICTORIA the 1st and REFORM ». " title="Rébellion."/>
            <wp:cNvGraphicFramePr>
              <a:graphicFrameLocks noChangeAspect="1"/>
            </wp:cNvGraphicFramePr>
            <a:graphic>
              <a:graphicData uri="http://schemas.openxmlformats.org/drawingml/2006/picture">
                <pic:pic>
                  <pic:nvPicPr>
                    <pic:cNvPr id="0" name=""/>
                    <pic:cNvPicPr/>
                  </pic:nvPicPr>
                  <pic:blipFill>
                    <a:blip r:embed="R8c6c7b27d90049fc">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5186C725" w14:textId="02CC9B06">
      <w:pPr>
        <w:jc w:val="center"/>
      </w:pPr>
      <w:r>
        <w:br w:type="page"/>
      </w:r>
      <w:r w:rsidR="2D3422A5">
        <w:drawing>
          <wp:inline wp14:editId="6D2981A1" wp14:anchorId="1919AF26">
            <wp:extent cx="4572000" cy="3048000"/>
            <wp:effectExtent l="0" t="0" r="0" b="0"/>
            <wp:docPr id="1785635652" name="" descr="Une rébellion s’entend d’une résistance contre une personne ou un groupe au pouvoir. La colère croissante contre le gouvernement colonial britannique au Haut-Canada (aujourd’hui l’Ontario) a mené à la rébellion de 1837, dirigée par William Lyon Mackenzie. En portant cette bannière, Mackenzie et ses partisans défilèrent sur la rue Yonge à Toronto pour exiger une réforme politique. Même si infructueuse au début, la rébellion fut l’un de plusieurs soulèvements ayant mené à la création d’un gouvernement responsable et à l’union du Haut et du Bas-Canada en 1841.&#10;&#10;Bannière de la rébellion de 1837 (devant et derrière), 1837 (I0032668 et I0032669)" title="Rébellion."/>
            <wp:cNvGraphicFramePr>
              <a:graphicFrameLocks noChangeAspect="1"/>
            </wp:cNvGraphicFramePr>
            <a:graphic>
              <a:graphicData uri="http://schemas.openxmlformats.org/drawingml/2006/picture">
                <pic:pic>
                  <pic:nvPicPr>
                    <pic:cNvPr id="0" name=""/>
                    <pic:cNvPicPr/>
                  </pic:nvPicPr>
                  <pic:blipFill>
                    <a:blip r:embed="R849fdc2189e14176">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4D494C57" w14:textId="1CB04846">
      <w:pPr>
        <w:jc w:val="center"/>
      </w:pPr>
      <w:r>
        <w:br w:type="page"/>
      </w:r>
      <w:r w:rsidR="0CEBBB69">
        <w:drawing>
          <wp:inline wp14:editId="01C92ECE" wp14:anchorId="243572E5">
            <wp:extent cx="4572000" cy="3048000"/>
            <wp:effectExtent l="0" t="0" r="0" b="0"/>
            <wp:docPr id="1307924712" name="" descr="Une photo en noir et blanc de plusieurs personnes de race blanche, à droite, à l'extérieur d'un bâtiment, à gauche. Un groupe d'hommes et de femmes est habillé en tenue décontractée d'été devant le bâtiment. Derrière eux, plus de gens se tiennent à l'extérieur et sous une grande tente de fête. Le bâtiment en bois est à deux étages, avec plusieurs fenêtres sur les deux niveaux à l'avant et une porte ouverte au rez-de-chaussée. Le deuxième étage du bâtiment est triangulaire. Plusieurs panneaux solaires sont fixés sur le côté du deuxième étage, avec un long fil sortant du bâtiment. Le bâtiment est entouré d'herbe avec un chemin qui en sort et entre le bâtiment et la tente. Une clôture longe l'autre côté du bâtiment." title="Renouvelable."/>
            <wp:cNvGraphicFramePr>
              <a:graphicFrameLocks noChangeAspect="1"/>
            </wp:cNvGraphicFramePr>
            <a:graphic>
              <a:graphicData uri="http://schemas.openxmlformats.org/drawingml/2006/picture">
                <pic:pic>
                  <pic:nvPicPr>
                    <pic:cNvPr id="0" name=""/>
                    <pic:cNvPicPr/>
                  </pic:nvPicPr>
                  <pic:blipFill>
                    <a:blip r:embed="Rb2280e1b63854f22">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3764BC9F" w14:textId="31C9D8F2">
      <w:pPr>
        <w:jc w:val="center"/>
      </w:pPr>
      <w:r>
        <w:br w:type="page"/>
      </w:r>
      <w:r w:rsidR="2139CE69">
        <w:drawing>
          <wp:inline wp14:editId="6E03B4B4" wp14:anchorId="757DEAC9">
            <wp:extent cx="4572000" cy="3048000"/>
            <wp:effectExtent l="0" t="0" r="0" b="0"/>
            <wp:docPr id="1751066862" name="" descr="L’énergie renouvelable est produite à partir de sources d’énergie dont les réserves ne diminuent pas après utilisation, ou qui se régénèrent naturellement au cours d’une vie humaine, par exemple l’énergie éolienne et solaire. La maison Provident, à King City, fut la première maison au Canada à emmagasiner de la chaleur provenant de l’énergie solaire pour utilisation à d’autres moments de l’année. Cette photo tirée des collections des Archives publiques de l'Ontario documente la réception pour son inauguration en juin 1976.&#10;&#10;Maison solaire Provident, King City, Ontario, 25 juin 1976 (I0056056)" title="Renouvelable."/>
            <wp:cNvGraphicFramePr>
              <a:graphicFrameLocks noChangeAspect="1"/>
            </wp:cNvGraphicFramePr>
            <a:graphic>
              <a:graphicData uri="http://schemas.openxmlformats.org/drawingml/2006/picture">
                <pic:pic>
                  <pic:nvPicPr>
                    <pic:cNvPr id="0" name=""/>
                    <pic:cNvPicPr/>
                  </pic:nvPicPr>
                  <pic:blipFill>
                    <a:blip r:embed="Rb3e85d417f8040a4">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75103FA4" w14:textId="51AE8E56">
      <w:pPr>
        <w:jc w:val="center"/>
      </w:pPr>
      <w:r>
        <w:br w:type="page"/>
      </w:r>
      <w:r w:rsidR="5C7E6CD5">
        <w:drawing>
          <wp:inline wp14:editId="3EF8D4A2" wp14:anchorId="479E441A">
            <wp:extent cx="4572000" cy="3048000"/>
            <wp:effectExtent l="0" t="0" r="0" b="0"/>
            <wp:docPr id="481665351" name="" descr="Une image en noir et blanc de sept enfants mâles noirs debout à l'extérieur d'un petit immeuble. Les garçons portent chacun des casquettes plates, des vestes à col, des pantalons et des bottes hautes sont disposés dans l'ordre, du plus haut à gauche au plus court à droite. Ils se tiennent devant une école à une pièce en bois délabrée. La porte du bâtiment est ouverte et possède un toit incliné et une cheminée. D'autres bâtiments peuvent être vus en arrière-plan, avec quelques arbres à gauche, un devant et un derrière le bâtiment. " title="Ségrégation."/>
            <wp:cNvGraphicFramePr>
              <a:graphicFrameLocks noChangeAspect="1"/>
            </wp:cNvGraphicFramePr>
            <a:graphic>
              <a:graphicData uri="http://schemas.openxmlformats.org/drawingml/2006/picture">
                <pic:pic>
                  <pic:nvPicPr>
                    <pic:cNvPr id="0" name=""/>
                    <pic:cNvPicPr/>
                  </pic:nvPicPr>
                  <pic:blipFill>
                    <a:blip r:embed="Ra01f662e8e274157">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7878A574" w14:textId="0A4ED558">
      <w:pPr>
        <w:jc w:val="center"/>
      </w:pPr>
      <w:r>
        <w:br w:type="page"/>
      </w:r>
      <w:r w:rsidR="1DFACAA3">
        <w:drawing>
          <wp:inline wp14:editId="55EAFAD8" wp14:anchorId="388C76A8">
            <wp:extent cx="4572000" cy="3048000"/>
            <wp:effectExtent l="0" t="0" r="0" b="0"/>
            <wp:docPr id="621785797" name="" descr="La ségrégation est la pratique de séparer les gens en fonction de la race. La Loi de 1850 sur les écoles non confessionnelles a permis la création d’écoles distinctes pour les enfants noirs au Canada Ouest (aujourd’hui l’Ontario). Les parents noirs s’organisèrent pour remettre en question l’exclusion de leurs enfants des écoles publiques, mais la pratique se poursuivit dans certaines régions tout au long du 20e siècle. La dernière école ségréguée en Ontario a fermé ses portes en 1965, grâce au militantisme des parents et aux efforts du premier député provincial noir de l’Ontario, Leonard Braithewaite.&#10;&#10;Enfants devant l’école pour enfants noirs du village de Marble, [vers 1900] (I0024783)" title="Ségrégation."/>
            <wp:cNvGraphicFramePr>
              <a:graphicFrameLocks noChangeAspect="1"/>
            </wp:cNvGraphicFramePr>
            <a:graphic>
              <a:graphicData uri="http://schemas.openxmlformats.org/drawingml/2006/picture">
                <pic:pic>
                  <pic:nvPicPr>
                    <pic:cNvPr id="0" name=""/>
                    <pic:cNvPicPr/>
                  </pic:nvPicPr>
                  <pic:blipFill>
                    <a:blip r:embed="R6d4238ce0f1d454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7CAD036B" w14:textId="2458AC91">
      <w:pPr>
        <w:jc w:val="center"/>
      </w:pPr>
      <w:r>
        <w:br w:type="page"/>
      </w:r>
      <w:r w:rsidR="4F908719">
        <w:drawing>
          <wp:inline wp14:editId="30984FD1" wp14:anchorId="0CE526F0">
            <wp:extent cx="4572000" cy="3048000"/>
            <wp:effectExtent l="0" t="0" r="0" b="0"/>
            <wp:docPr id="387457231" name="" descr="Une numérisation couleur de deux pages d'un journal. Le texte manuscrit « July 14th, 1881 » et « Diary - No. II » apparaissent sur la page de gauche, ainsi que des illustrations dessinées à la main de femmes de profil regardant vers la gauche. Un autocollant en détresse d'une grande maison apparaît également. À droite, une page complète de texte cursif manuscrit, déchirée dans le coin inférieur droit. Une partie de la liaison de la colonne vertébrale est visible au centre." title="Source primaire."/>
            <wp:cNvGraphicFramePr>
              <a:graphicFrameLocks noChangeAspect="1"/>
            </wp:cNvGraphicFramePr>
            <a:graphic>
              <a:graphicData uri="http://schemas.openxmlformats.org/drawingml/2006/picture">
                <pic:pic>
                  <pic:nvPicPr>
                    <pic:cNvPr id="0" name=""/>
                    <pic:cNvPicPr/>
                  </pic:nvPicPr>
                  <pic:blipFill>
                    <a:blip r:embed="Rb554d58c0f72422c">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7ECDABB5" w14:textId="05C4E37D">
      <w:pPr>
        <w:jc w:val="center"/>
      </w:pPr>
      <w:r>
        <w:br w:type="page"/>
      </w:r>
      <w:r w:rsidR="79DA90FB">
        <w:drawing>
          <wp:inline wp14:editId="55DFC5C2" wp14:anchorId="1EED07A5">
            <wp:extent cx="4572000" cy="3048000"/>
            <wp:effectExtent l="0" t="0" r="0" b="0"/>
            <wp:docPr id="961996869" name="" descr="Les sources primaires sont des documents créés dans le passé qui fournissent un témoignage de première main d’événements, de pratiques ou de conditions de l’époque. Les exemples de ces sources incluent des lettres, des photographies, des histoires orales, des courriels, des documents financiers, des articles de journaux et des journaux intimes, comme celui de Martha Hastie, 13 ans, qui a documenté sa vie à Lindsay au début des années 1880. Les sources primaires incluent également des témoignages de première main documentés plus tard, par exemple des autobiographies, mémoires et histoires orales.&#10;&#10;Les autoportraits et la première entrée dans le journal de Martha Hastie pour 1881, Lindsay (Ontario), juillet 1881 (I0032544)" title="Source primaire."/>
            <wp:cNvGraphicFramePr>
              <a:graphicFrameLocks noChangeAspect="1"/>
            </wp:cNvGraphicFramePr>
            <a:graphic>
              <a:graphicData uri="http://schemas.openxmlformats.org/drawingml/2006/picture">
                <pic:pic>
                  <pic:nvPicPr>
                    <pic:cNvPr id="0" name=""/>
                    <pic:cNvPicPr/>
                  </pic:nvPicPr>
                  <pic:blipFill>
                    <a:blip r:embed="Rb580c5d0b8384c7e">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0C2877BF" w14:textId="6EE195B7">
      <w:pPr>
        <w:jc w:val="center"/>
      </w:pPr>
      <w:r>
        <w:br w:type="page"/>
      </w:r>
      <w:r w:rsidR="05940418">
        <w:drawing>
          <wp:inline wp14:editId="38F920C1" wp14:anchorId="398A6D4C">
            <wp:extent cx="3048000" cy="4572000"/>
            <wp:effectExtent l="0" t="0" r="0" b="0"/>
            <wp:docPr id="923674372" name="" descr="Une numérisation en couleur de la couverture avant d'un manuel. La couverture est imprimée à l'encre rouge et bleue. Le texte manuscrit se lit comme suit: « Public School Geography », placé dans un cadre rectangulaire avec un large ovale en haut. Une illustration florale abstraite se répète dans chaque coin supérieur. Au centre, l'image d'une femme est encadrée par des illustrations florales ornées et abstraites. La femme est dans le ciel devant un globe. Elle tient un stylo devant un rouleau déroulé dans une main et une lampe à huile de style génie dans l'autre. La lampe dégage une bouffée de fumée qui entoure la femme, le globe et le ciel. En bas, le texte se lit comme suit: « Toronto, Canada Publishing Co. Limited » et « Prix 75 cents ». " title="Source secondaire."/>
            <wp:cNvGraphicFramePr>
              <a:graphicFrameLocks noChangeAspect="1"/>
            </wp:cNvGraphicFramePr>
            <a:graphic>
              <a:graphicData uri="http://schemas.openxmlformats.org/drawingml/2006/picture">
                <pic:pic>
                  <pic:nvPicPr>
                    <pic:cNvPr id="0" name=""/>
                    <pic:cNvPicPr/>
                  </pic:nvPicPr>
                  <pic:blipFill>
                    <a:blip r:embed="R312052996472431b">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173E3DBF" w14:textId="38F5857D">
      <w:pPr>
        <w:jc w:val="center"/>
      </w:pPr>
      <w:r>
        <w:br w:type="page"/>
      </w:r>
      <w:r w:rsidR="777D96D6">
        <w:drawing>
          <wp:inline wp14:editId="061804B1" wp14:anchorId="27F171D5">
            <wp:extent cx="3048000" cy="4572000"/>
            <wp:effectExtent l="0" t="0" r="0" b="0"/>
            <wp:docPr id="1661171278" name="" descr="Les sources secondaires sont des documents ou dossiers à propos du passé créés par quelqu’un qui n’a pas vécu des événements ou une période ou qui n’y a pas participé directement, ni rencontré les personnes à l’étude. Souvent, les sources secondaires décrivent, interprètent et évaluent les témoignages du passé de témoins oculaires (sources primaires). Des exemples de sources secondaires courantes incluent des articles de journaux, des critiques de livres et de films, des documentaires, des biographies et des manuels—comme ce manuel de géographie utilisé par les élèves de l’école publique dans les années 1900.&#10;&#10;Manuel Public School Geography, vers 1900 (I0032550)" title="Source secondaire."/>
            <wp:cNvGraphicFramePr>
              <a:graphicFrameLocks noChangeAspect="1"/>
            </wp:cNvGraphicFramePr>
            <a:graphic>
              <a:graphicData uri="http://schemas.openxmlformats.org/drawingml/2006/picture">
                <pic:pic>
                  <pic:nvPicPr>
                    <pic:cNvPr id="0" name=""/>
                    <pic:cNvPicPr/>
                  </pic:nvPicPr>
                  <pic:blipFill>
                    <a:blip r:embed="R97cec12a67f44dc4">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0660D86A" w14:textId="46BF8F1D">
      <w:pPr>
        <w:jc w:val="center"/>
      </w:pPr>
      <w:r>
        <w:br w:type="page"/>
      </w:r>
      <w:r w:rsidR="4F23C646">
        <w:drawing>
          <wp:inline wp14:editId="75BBFCBB" wp14:anchorId="14521D2F">
            <wp:extent cx="3048000" cy="4572000"/>
            <wp:effectExtent l="0" t="0" r="0" b="0"/>
            <wp:docPr id="1562126004" name="" descr="Une photo couleur d'un document manuscrit et altéré. Le lettrage orné en haut se lit comme suit: « The James Bay Treaty - Treaty no 9 ». Le document comprend ensuite cinq autres paragraphes de texte corporel cursif. " title="Traité."/>
            <wp:cNvGraphicFramePr>
              <a:graphicFrameLocks noChangeAspect="1"/>
            </wp:cNvGraphicFramePr>
            <a:graphic>
              <a:graphicData uri="http://schemas.openxmlformats.org/drawingml/2006/picture">
                <pic:pic>
                  <pic:nvPicPr>
                    <pic:cNvPr id="0" name=""/>
                    <pic:cNvPicPr/>
                  </pic:nvPicPr>
                  <pic:blipFill>
                    <a:blip r:embed="R4cab5bd255cb4342">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2F6BA710" w14:textId="693632EF">
      <w:pPr>
        <w:jc w:val="center"/>
      </w:pPr>
      <w:r>
        <w:br w:type="page"/>
      </w:r>
      <w:r w:rsidR="755AFC44">
        <w:drawing>
          <wp:inline wp14:editId="02284EED" wp14:anchorId="5CC3F697">
            <wp:extent cx="3048000" cy="4572000"/>
            <wp:effectExtent l="0" t="0" r="0" b="0"/>
            <wp:docPr id="895666137" name="" descr="Un traité est un accord officiel entre deux ou plusieurs nations portant sur le partage du territoire et des ressources, ainsi que sur le vivre ensemble de façon pacifique. L’Ontario est couvert par plus de 40 traités et autres accords fonciers. Le Traité de la baie James (Traité no 9), conclu entre la Couronne et les collectivités des Premières Nations vivant dans les bassins versants de la baie James et de la baie d’Hudson, comprend le document écrit original signé en 1905-1906 et les promesses orales faites par les commissaires du traité aux Anishinaabe et aux Omushkegowuk.&#10;&#10;Document écrit du Traité de la baie James (Traité n° 9), page 1, 1905-1906 (I0031638)" title="Traité."/>
            <wp:cNvGraphicFramePr>
              <a:graphicFrameLocks noChangeAspect="1"/>
            </wp:cNvGraphicFramePr>
            <a:graphic>
              <a:graphicData uri="http://schemas.openxmlformats.org/drawingml/2006/picture">
                <pic:pic>
                  <pic:nvPicPr>
                    <pic:cNvPr id="0" name=""/>
                    <pic:cNvPicPr/>
                  </pic:nvPicPr>
                  <pic:blipFill>
                    <a:blip r:embed="R803081468b774f72">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21F81C81" w14:textId="0C486BF2">
      <w:pPr>
        <w:jc w:val="center"/>
      </w:pPr>
      <w:r>
        <w:br w:type="page"/>
      </w:r>
      <w:r w:rsidR="02ECE2B0">
        <w:drawing>
          <wp:inline wp14:editId="031A623F" wp14:anchorId="3620FD83">
            <wp:extent cx="4572000" cy="3048000"/>
            <wp:effectExtent l="0" t="0" r="0" b="0"/>
            <wp:docPr id="351862824" name="" descr="Une photo couleur d'une journée ensoleillée sur la rue Yonge à Toronto. Les deux trottoirs sont occupés par des gens et entre les deux, la circulation automobile se dirige dans les deux sens. Des commerces peuvent être vus dans des immeubles de l'autre côté de la rue, l'un arborant deux drapeaux canadiens. Un panneau de stationnement peut également être vu. Sur le côté le plus proche de la rue se trouve un poteau avec un panneau de métro TTC et un poteau séparé avec divers panneaux de régulation du stationnement. " title="Urbanisation."/>
            <wp:cNvGraphicFramePr>
              <a:graphicFrameLocks noChangeAspect="1"/>
            </wp:cNvGraphicFramePr>
            <a:graphic>
              <a:graphicData uri="http://schemas.openxmlformats.org/drawingml/2006/picture">
                <pic:pic>
                  <pic:nvPicPr>
                    <pic:cNvPr id="0" name=""/>
                    <pic:cNvPicPr/>
                  </pic:nvPicPr>
                  <pic:blipFill>
                    <a:blip r:embed="R8acc1948050a4ae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41C384A8" w14:textId="398D82EA">
      <w:pPr>
        <w:jc w:val="center"/>
      </w:pPr>
      <w:r>
        <w:br w:type="page"/>
      </w:r>
      <w:r w:rsidR="4A1D21EF">
        <w:drawing>
          <wp:inline wp14:editId="14BD30E5" wp14:anchorId="014828AE">
            <wp:extent cx="4572000" cy="3048000"/>
            <wp:effectExtent l="0" t="0" r="0" b="0"/>
            <wp:docPr id="499497541" name="" descr="L’urbanisation s’entend du déplacement des gens de régions rurales vers des villes et municipalités (régions urbaines). Souvent associée à la construction, au développement de l’infrastructure et à l’industrie, l’urbanisation se produit partout dans le monde depuis des milliers d’années. Elle peut avoir des conséquences importantes sur les conditions de vie, la santé, l’emploi, le transport, la politique, l’économie et l’environnement. À Toronto, on peut clairement voir l’urbanisation en raison de la croissance de l’activité humaine, des édifices et du transport le long de la rue Yonge depuis les années 1790.&#10;&#10;Rue Yonge, Toronto, entre 1970 et 1989 (I0005820)" title="Urbanisation."/>
            <wp:cNvGraphicFramePr>
              <a:graphicFrameLocks noChangeAspect="1"/>
            </wp:cNvGraphicFramePr>
            <a:graphic>
              <a:graphicData uri="http://schemas.openxmlformats.org/drawingml/2006/picture">
                <pic:pic>
                  <pic:nvPicPr>
                    <pic:cNvPr id="0" name=""/>
                    <pic:cNvPicPr/>
                  </pic:nvPicPr>
                  <pic:blipFill>
                    <a:blip r:embed="Reb20ee9d17ae494e">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3D0A7B29" w14:textId="04E53899">
      <w:pPr>
        <w:jc w:val="center"/>
      </w:pPr>
      <w:r>
        <w:br w:type="page"/>
      </w:r>
      <w:r w:rsidR="3678C3DD">
        <w:drawing>
          <wp:inline wp14:editId="70B3B5D0" wp14:anchorId="4DE06C34">
            <wp:extent cx="4572000" cy="3048000"/>
            <wp:effectExtent l="0" t="0" r="0" b="0"/>
            <wp:docPr id="601311713" name="" descr="Une illustration en noir et blanc d'une colline boisée. Au premier plan, quelques buissons devant une courte clôture. Les arbres poussent au-delà de la clôture, entourant une colline herbeuse peu boisée." title="Végétation."/>
            <wp:cNvGraphicFramePr>
              <a:graphicFrameLocks noChangeAspect="1"/>
            </wp:cNvGraphicFramePr>
            <a:graphic>
              <a:graphicData uri="http://schemas.openxmlformats.org/drawingml/2006/picture">
                <pic:pic>
                  <pic:nvPicPr>
                    <pic:cNvPr id="0" name=""/>
                    <pic:cNvPicPr/>
                  </pic:nvPicPr>
                  <pic:blipFill>
                    <a:blip r:embed="R27eeb69258e44744">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446D26A1" w14:textId="373048E8">
      <w:pPr>
        <w:jc w:val="center"/>
      </w:pPr>
      <w:r>
        <w:br w:type="page"/>
      </w:r>
      <w:r w:rsidR="1FC9F6A6">
        <w:drawing>
          <wp:inline wp14:editId="544FCDB8" wp14:anchorId="392E01BF">
            <wp:extent cx="4572000" cy="3048000"/>
            <wp:effectExtent l="0" t="0" r="0" b="0"/>
            <wp:docPr id="2003158547" name="" descr="Végétation s’entend de toutes les plantes ou vie végétale d’une région. Elle est principalement déterminée par le climat (température, précipitations et ensoleillement) et peut être influencée par la géologie, la composition du sol et l’érosion, les schémas de drainage des eaux et les actions des humains et d’autres animaux. Cette toile de l’artiste du 19e siècle Anne Langton montre la vie végétale dans le quartier Rosedale de Toronto avant la construction d’imposantes résidences pour les riches et célèbres de la ville.&#10;&#10;Rosedale, Toronto, vers 1882 (I0008552)" title="Végétation."/>
            <wp:cNvGraphicFramePr>
              <a:graphicFrameLocks noChangeAspect="1"/>
            </wp:cNvGraphicFramePr>
            <a:graphic>
              <a:graphicData uri="http://schemas.openxmlformats.org/drawingml/2006/picture">
                <pic:pic>
                  <pic:nvPicPr>
                    <pic:cNvPr id="0" name=""/>
                    <pic:cNvPicPr/>
                  </pic:nvPicPr>
                  <pic:blipFill>
                    <a:blip r:embed="R7bec47388c294cc8">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6F9EC771" w14:textId="78B42CE3">
      <w:pPr>
        <w:jc w:val="center"/>
      </w:pPr>
      <w:r>
        <w:br w:type="page"/>
      </w:r>
      <w:r w:rsidR="078C0EE0">
        <w:drawing>
          <wp:inline wp14:editId="28638D2D" wp14:anchorId="44A7F024">
            <wp:extent cx="4572000" cy="3048000"/>
            <wp:effectExtent l="0" t="0" r="0" b="0"/>
            <wp:docPr id="267004282" name="" descr="Une photo couleur d'une zone humide. Au premier plan à gauche se trouvent des plantes basses et, à droite, quelques arbres escarpés. Au-delà, une étendue d'eau est visible à gauche. En arrière-plan, une ligne d'arbre devant un ciel bleu nuageux." title="Zones humides."/>
            <wp:cNvGraphicFramePr>
              <a:graphicFrameLocks noChangeAspect="1"/>
            </wp:cNvGraphicFramePr>
            <a:graphic>
              <a:graphicData uri="http://schemas.openxmlformats.org/drawingml/2006/picture">
                <pic:pic>
                  <pic:nvPicPr>
                    <pic:cNvPr id="0" name=""/>
                    <pic:cNvPicPr/>
                  </pic:nvPicPr>
                  <pic:blipFill>
                    <a:blip r:embed="R1025c7ba9c3242a4">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5013C5D4" w14:textId="414F02A3">
      <w:pPr>
        <w:jc w:val="center"/>
      </w:pPr>
      <w:r>
        <w:br w:type="page"/>
      </w:r>
      <w:r w:rsidR="3B01782C">
        <w:drawing>
          <wp:inline wp14:editId="3349931E" wp14:anchorId="60E89A14">
            <wp:extent cx="4572000" cy="3048000"/>
            <wp:effectExtent l="0" t="0" r="0" b="0"/>
            <wp:docPr id="1705850024" name="" descr="Les zones humides sont des zones inondées, de façon permanente ou saisonnière. En Ontario, il existe quatre types de zones humides : des marécages (aussi appelées tourbières), des marais, des bogues et des étangs marécageux. La conservation des zones humides est importante, puisqu’elles préviennent les inondations et l’érosion, fournissent une grande réserve d’eau propre, aident à modérer le climat et soutiennent différentes espèces de plantes et d’animaux. Elles fournissent également des produits utiles (comme le bois d'œuvre) pour les industries de l'Ontario, et offrent de nombreuses possibilités d’activités en plein air.&#10;&#10;Tourbière typique adjacente à la rivière Severn (Ontario), 1952 (I0012744)" title="Zones humides."/>
            <wp:cNvGraphicFramePr>
              <a:graphicFrameLocks noChangeAspect="1"/>
            </wp:cNvGraphicFramePr>
            <a:graphic>
              <a:graphicData uri="http://schemas.openxmlformats.org/drawingml/2006/picture">
                <pic:pic>
                  <pic:nvPicPr>
                    <pic:cNvPr id="0" name=""/>
                    <pic:cNvPicPr/>
                  </pic:nvPicPr>
                  <pic:blipFill>
                    <a:blip r:embed="R09d9c2496eaa428a">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sectPr>
      <w:pgSz w:w="15840" w:h="12240" w:orient="landscape"/>
      <w:pgMar w:top="1440" w:right="1440" w:bottom="1440" w:left="1440" w:header="720" w:footer="720" w:gutter="0"/>
      <w:cols w:space="720"/>
      <w:docGrid w:linePitch="360"/>
      <w:headerReference w:type="default" r:id="Rc985c9a0d93744bd"/>
      <w:footerReference w:type="default" r:id="R01d2e1bba62b47cb"/>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1920"/>
      <w:gridCol w:w="1920"/>
      <w:gridCol w:w="1920"/>
    </w:tblGrid>
    <w:tr w:rsidR="332BD677" w:rsidTr="332BD677" w14:paraId="413908DA">
      <w:tc>
        <w:tcPr>
          <w:tcW w:w="1920" w:type="dxa"/>
          <w:tcMar/>
        </w:tcPr>
        <w:p w:rsidR="332BD677" w:rsidP="332BD677" w:rsidRDefault="332BD677" w14:paraId="2C837536" w14:textId="3746F4AA">
          <w:pPr>
            <w:pStyle w:val="Header"/>
            <w:bidi w:val="0"/>
            <w:ind w:left="-115"/>
            <w:jc w:val="left"/>
          </w:pPr>
        </w:p>
      </w:tc>
      <w:tc>
        <w:tcPr>
          <w:tcW w:w="1920" w:type="dxa"/>
          <w:tcMar/>
        </w:tcPr>
        <w:p w:rsidR="332BD677" w:rsidP="332BD677" w:rsidRDefault="332BD677" w14:paraId="36AA69A2" w14:textId="53842971">
          <w:pPr>
            <w:pStyle w:val="Header"/>
            <w:bidi w:val="0"/>
            <w:jc w:val="center"/>
          </w:pPr>
        </w:p>
      </w:tc>
      <w:tc>
        <w:tcPr>
          <w:tcW w:w="1920" w:type="dxa"/>
          <w:tcMar/>
        </w:tcPr>
        <w:p w:rsidR="332BD677" w:rsidP="332BD677" w:rsidRDefault="332BD677" w14:paraId="5E701147" w14:textId="2B72958A">
          <w:pPr>
            <w:pStyle w:val="Header"/>
            <w:bidi w:val="0"/>
            <w:ind w:right="-115"/>
            <w:jc w:val="right"/>
          </w:pPr>
        </w:p>
      </w:tc>
    </w:tr>
  </w:tbl>
  <w:p w:rsidR="332BD677" w:rsidP="332BD677" w:rsidRDefault="332BD677" w14:paraId="399AC1BA" w14:textId="036E5F6C">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1920"/>
      <w:gridCol w:w="1920"/>
      <w:gridCol w:w="1920"/>
    </w:tblGrid>
    <w:tr w:rsidR="332BD677" w:rsidTr="332BD677" w14:paraId="0F9067CA">
      <w:tc>
        <w:tcPr>
          <w:tcW w:w="1920" w:type="dxa"/>
          <w:tcMar/>
        </w:tcPr>
        <w:p w:rsidR="332BD677" w:rsidP="332BD677" w:rsidRDefault="332BD677" w14:paraId="37A0FC6E" w14:textId="19F4F080">
          <w:pPr>
            <w:pStyle w:val="Header"/>
            <w:bidi w:val="0"/>
            <w:ind w:left="-115"/>
            <w:jc w:val="left"/>
          </w:pPr>
        </w:p>
      </w:tc>
      <w:tc>
        <w:tcPr>
          <w:tcW w:w="1920" w:type="dxa"/>
          <w:tcMar/>
        </w:tcPr>
        <w:p w:rsidR="332BD677" w:rsidP="332BD677" w:rsidRDefault="332BD677" w14:paraId="2CB3B486" w14:textId="59990A8E">
          <w:pPr>
            <w:pStyle w:val="Header"/>
            <w:bidi w:val="0"/>
            <w:jc w:val="center"/>
          </w:pPr>
        </w:p>
      </w:tc>
      <w:tc>
        <w:tcPr>
          <w:tcW w:w="1920" w:type="dxa"/>
          <w:tcMar/>
        </w:tcPr>
        <w:p w:rsidR="332BD677" w:rsidP="332BD677" w:rsidRDefault="332BD677" w14:paraId="43099455" w14:textId="3E94864F">
          <w:pPr>
            <w:pStyle w:val="Header"/>
            <w:bidi w:val="0"/>
            <w:ind w:right="-115"/>
            <w:jc w:val="right"/>
          </w:pPr>
        </w:p>
      </w:tc>
    </w:tr>
  </w:tbl>
  <w:p w:rsidR="332BD677" w:rsidP="332BD677" w:rsidRDefault="332BD677" w14:paraId="50815A41" w14:textId="1BC48E5E">
    <w:pPr>
      <w:pStyle w:val="Header"/>
      <w:bidi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trackRevisions w:val="false"/>
  <w:proofState w:spelling="clean" w:grammar="dirty"/>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4:docId w14:val="07F1E50A"/>
  <w15:docId w15:val="{fdcea6ab-3367-4c2f-a9f4-c0cfb098e542}"/>
  <w:rsids>
    <w:rsidRoot w:val="07F1E50A"/>
    <w:rsid w:val="0028A7A2"/>
    <w:rsid w:val="005A5710"/>
    <w:rsid w:val="00DEF9C3"/>
    <w:rsid w:val="0157C37E"/>
    <w:rsid w:val="0157C37E"/>
    <w:rsid w:val="015D4C47"/>
    <w:rsid w:val="01BBF8FF"/>
    <w:rsid w:val="01DDE401"/>
    <w:rsid w:val="02017724"/>
    <w:rsid w:val="02457A7D"/>
    <w:rsid w:val="0284248C"/>
    <w:rsid w:val="02962BA7"/>
    <w:rsid w:val="02B692B0"/>
    <w:rsid w:val="02CFD353"/>
    <w:rsid w:val="02ECE2B0"/>
    <w:rsid w:val="031A2306"/>
    <w:rsid w:val="031A8290"/>
    <w:rsid w:val="031EF76B"/>
    <w:rsid w:val="032F4815"/>
    <w:rsid w:val="0392F748"/>
    <w:rsid w:val="039968AE"/>
    <w:rsid w:val="03FDE803"/>
    <w:rsid w:val="0474654A"/>
    <w:rsid w:val="0497D86C"/>
    <w:rsid w:val="049B67B7"/>
    <w:rsid w:val="04B42741"/>
    <w:rsid w:val="04C9A9BF"/>
    <w:rsid w:val="04DD766A"/>
    <w:rsid w:val="04EE51CB"/>
    <w:rsid w:val="05113C97"/>
    <w:rsid w:val="053AA039"/>
    <w:rsid w:val="05940418"/>
    <w:rsid w:val="061F0667"/>
    <w:rsid w:val="065A43E8"/>
    <w:rsid w:val="0683E196"/>
    <w:rsid w:val="069CBA27"/>
    <w:rsid w:val="07069A49"/>
    <w:rsid w:val="0724F2B8"/>
    <w:rsid w:val="0724F2B8"/>
    <w:rsid w:val="078C0EE0"/>
    <w:rsid w:val="07F1E50A"/>
    <w:rsid w:val="08059631"/>
    <w:rsid w:val="0832E760"/>
    <w:rsid w:val="084769E5"/>
    <w:rsid w:val="08480E25"/>
    <w:rsid w:val="088A7DC6"/>
    <w:rsid w:val="08FBB819"/>
    <w:rsid w:val="090AB236"/>
    <w:rsid w:val="09180987"/>
    <w:rsid w:val="0927C271"/>
    <w:rsid w:val="093A288F"/>
    <w:rsid w:val="095D0426"/>
    <w:rsid w:val="0990B0E5"/>
    <w:rsid w:val="09BEF018"/>
    <w:rsid w:val="0A116A39"/>
    <w:rsid w:val="0A1CF150"/>
    <w:rsid w:val="0A4098A8"/>
    <w:rsid w:val="0A59E9BF"/>
    <w:rsid w:val="0AB3A95C"/>
    <w:rsid w:val="0ACAF79D"/>
    <w:rsid w:val="0ACF736B"/>
    <w:rsid w:val="0AF52739"/>
    <w:rsid w:val="0B2E82F9"/>
    <w:rsid w:val="0B8598CA"/>
    <w:rsid w:val="0C9F6BB7"/>
    <w:rsid w:val="0CA2CAF3"/>
    <w:rsid w:val="0CEBBB69"/>
    <w:rsid w:val="0D4E5031"/>
    <w:rsid w:val="0D9F1EDF"/>
    <w:rsid w:val="0DE01B97"/>
    <w:rsid w:val="0DF0F4E7"/>
    <w:rsid w:val="0E976C3D"/>
    <w:rsid w:val="0EB6D743"/>
    <w:rsid w:val="0EC38EA6"/>
    <w:rsid w:val="0EDF2327"/>
    <w:rsid w:val="0F0858FC"/>
    <w:rsid w:val="0F325AE0"/>
    <w:rsid w:val="0F5818D6"/>
    <w:rsid w:val="0F7CBB54"/>
    <w:rsid w:val="0FA3BAFD"/>
    <w:rsid w:val="0FC18D39"/>
    <w:rsid w:val="0FE3B927"/>
    <w:rsid w:val="1003CE51"/>
    <w:rsid w:val="10763E06"/>
    <w:rsid w:val="10FB1379"/>
    <w:rsid w:val="1100471D"/>
    <w:rsid w:val="1113CE10"/>
    <w:rsid w:val="11624FE4"/>
    <w:rsid w:val="1173BD4A"/>
    <w:rsid w:val="11756DEE"/>
    <w:rsid w:val="11DCBBFD"/>
    <w:rsid w:val="11F7549A"/>
    <w:rsid w:val="120723D5"/>
    <w:rsid w:val="126681A6"/>
    <w:rsid w:val="12A34C2A"/>
    <w:rsid w:val="12C9BFBF"/>
    <w:rsid w:val="13435A58"/>
    <w:rsid w:val="1378A994"/>
    <w:rsid w:val="14124660"/>
    <w:rsid w:val="1424F467"/>
    <w:rsid w:val="142EC5E9"/>
    <w:rsid w:val="14495A7E"/>
    <w:rsid w:val="1453F0A2"/>
    <w:rsid w:val="1495A879"/>
    <w:rsid w:val="14A79DA2"/>
    <w:rsid w:val="14B69C29"/>
    <w:rsid w:val="1519F36A"/>
    <w:rsid w:val="15500308"/>
    <w:rsid w:val="16213C5B"/>
    <w:rsid w:val="16F2C339"/>
    <w:rsid w:val="16F2C339"/>
    <w:rsid w:val="172E2A53"/>
    <w:rsid w:val="1730DDC9"/>
    <w:rsid w:val="175023AE"/>
    <w:rsid w:val="175503B4"/>
    <w:rsid w:val="17593578"/>
    <w:rsid w:val="176D02C7"/>
    <w:rsid w:val="17D50513"/>
    <w:rsid w:val="17D50513"/>
    <w:rsid w:val="185D8DAF"/>
    <w:rsid w:val="18B966A9"/>
    <w:rsid w:val="18DA369A"/>
    <w:rsid w:val="18E4AFB1"/>
    <w:rsid w:val="194A18D2"/>
    <w:rsid w:val="1985FDCC"/>
    <w:rsid w:val="19AB537D"/>
    <w:rsid w:val="19FB65A2"/>
    <w:rsid w:val="1A083B07"/>
    <w:rsid w:val="1A108065"/>
    <w:rsid w:val="1A7D9B29"/>
    <w:rsid w:val="1B68D3F5"/>
    <w:rsid w:val="1B919B26"/>
    <w:rsid w:val="1B919B26"/>
    <w:rsid w:val="1BE0C6B4"/>
    <w:rsid w:val="1C0D63EC"/>
    <w:rsid w:val="1C269066"/>
    <w:rsid w:val="1C45C4E1"/>
    <w:rsid w:val="1C61ECD7"/>
    <w:rsid w:val="1C7B9186"/>
    <w:rsid w:val="1CB037A6"/>
    <w:rsid w:val="1CB037A6"/>
    <w:rsid w:val="1CD08426"/>
    <w:rsid w:val="1CF96192"/>
    <w:rsid w:val="1CFDD385"/>
    <w:rsid w:val="1D08C5C0"/>
    <w:rsid w:val="1D0ACCC3"/>
    <w:rsid w:val="1D36B83E"/>
    <w:rsid w:val="1D36B83E"/>
    <w:rsid w:val="1D36FE4C"/>
    <w:rsid w:val="1D432612"/>
    <w:rsid w:val="1DBC4DB9"/>
    <w:rsid w:val="1DE2122D"/>
    <w:rsid w:val="1DE667AE"/>
    <w:rsid w:val="1DF0EC45"/>
    <w:rsid w:val="1DF98155"/>
    <w:rsid w:val="1DFACAA3"/>
    <w:rsid w:val="1E1E4713"/>
    <w:rsid w:val="1E45032F"/>
    <w:rsid w:val="1E495113"/>
    <w:rsid w:val="1EBEBDCF"/>
    <w:rsid w:val="1EC3D668"/>
    <w:rsid w:val="1F1B06DC"/>
    <w:rsid w:val="1F430E2F"/>
    <w:rsid w:val="1F44B7F1"/>
    <w:rsid w:val="1F621091"/>
    <w:rsid w:val="1FC9F6A6"/>
    <w:rsid w:val="1FDB1466"/>
    <w:rsid w:val="20331B55"/>
    <w:rsid w:val="20FAD8AF"/>
    <w:rsid w:val="2139CE69"/>
    <w:rsid w:val="219FF854"/>
    <w:rsid w:val="21C115B9"/>
    <w:rsid w:val="21F0E774"/>
    <w:rsid w:val="2219EF0E"/>
    <w:rsid w:val="2276B123"/>
    <w:rsid w:val="22A811E9"/>
    <w:rsid w:val="22ACDD08"/>
    <w:rsid w:val="22F3F838"/>
    <w:rsid w:val="22FD3C36"/>
    <w:rsid w:val="24140825"/>
    <w:rsid w:val="24168AE5"/>
    <w:rsid w:val="24D595D1"/>
    <w:rsid w:val="24D8B4A9"/>
    <w:rsid w:val="262B5A0F"/>
    <w:rsid w:val="26303AF2"/>
    <w:rsid w:val="263DACB4"/>
    <w:rsid w:val="2685C332"/>
    <w:rsid w:val="26A9CE92"/>
    <w:rsid w:val="26B3BD8B"/>
    <w:rsid w:val="26E60687"/>
    <w:rsid w:val="26F3E570"/>
    <w:rsid w:val="2768D82A"/>
    <w:rsid w:val="27C92A67"/>
    <w:rsid w:val="27C9CC77"/>
    <w:rsid w:val="27CB0BC2"/>
    <w:rsid w:val="27F5625C"/>
    <w:rsid w:val="27F6AD53"/>
    <w:rsid w:val="28112414"/>
    <w:rsid w:val="283283CB"/>
    <w:rsid w:val="284257EA"/>
    <w:rsid w:val="28842B8B"/>
    <w:rsid w:val="28F945EF"/>
    <w:rsid w:val="2941B413"/>
    <w:rsid w:val="2969C9A5"/>
    <w:rsid w:val="297B6478"/>
    <w:rsid w:val="29CBBA81"/>
    <w:rsid w:val="2A2FB56A"/>
    <w:rsid w:val="2AAEAAA2"/>
    <w:rsid w:val="2AD0E364"/>
    <w:rsid w:val="2B71A9E9"/>
    <w:rsid w:val="2B970518"/>
    <w:rsid w:val="2C1B5A9A"/>
    <w:rsid w:val="2C225B67"/>
    <w:rsid w:val="2C51C61D"/>
    <w:rsid w:val="2C7A4C38"/>
    <w:rsid w:val="2CD47A93"/>
    <w:rsid w:val="2CE62101"/>
    <w:rsid w:val="2D288580"/>
    <w:rsid w:val="2D3422A5"/>
    <w:rsid w:val="2D4EC221"/>
    <w:rsid w:val="2D811860"/>
    <w:rsid w:val="2D9E6732"/>
    <w:rsid w:val="2DC41823"/>
    <w:rsid w:val="2DC4378F"/>
    <w:rsid w:val="2DE8F994"/>
    <w:rsid w:val="2E57C800"/>
    <w:rsid w:val="2EBD32A4"/>
    <w:rsid w:val="2EC5DD08"/>
    <w:rsid w:val="303380E1"/>
    <w:rsid w:val="30409A83"/>
    <w:rsid w:val="306A07F9"/>
    <w:rsid w:val="30AE72D8"/>
    <w:rsid w:val="30B95164"/>
    <w:rsid w:val="30F57FCD"/>
    <w:rsid w:val="31095F02"/>
    <w:rsid w:val="310F10AB"/>
    <w:rsid w:val="314617D1"/>
    <w:rsid w:val="31A8D1C3"/>
    <w:rsid w:val="321D02B2"/>
    <w:rsid w:val="321F924E"/>
    <w:rsid w:val="322652A4"/>
    <w:rsid w:val="3277268C"/>
    <w:rsid w:val="32C90BD3"/>
    <w:rsid w:val="33159A4C"/>
    <w:rsid w:val="332BD677"/>
    <w:rsid w:val="33D7C7C7"/>
    <w:rsid w:val="33E84E2F"/>
    <w:rsid w:val="33FF48B4"/>
    <w:rsid w:val="348B3F29"/>
    <w:rsid w:val="34E269F1"/>
    <w:rsid w:val="354DD9C0"/>
    <w:rsid w:val="355903CE"/>
    <w:rsid w:val="357614B4"/>
    <w:rsid w:val="358A959B"/>
    <w:rsid w:val="35E2A523"/>
    <w:rsid w:val="361CDA25"/>
    <w:rsid w:val="3678C3DD"/>
    <w:rsid w:val="367A4AA8"/>
    <w:rsid w:val="370B9EE0"/>
    <w:rsid w:val="37C9BF1F"/>
    <w:rsid w:val="37F9974A"/>
    <w:rsid w:val="381A31AC"/>
    <w:rsid w:val="382CC1DD"/>
    <w:rsid w:val="38E65915"/>
    <w:rsid w:val="392676AA"/>
    <w:rsid w:val="393AE4C9"/>
    <w:rsid w:val="3A62D913"/>
    <w:rsid w:val="3AA06721"/>
    <w:rsid w:val="3AEE7918"/>
    <w:rsid w:val="3B01782C"/>
    <w:rsid w:val="3B50686A"/>
    <w:rsid w:val="3B92F440"/>
    <w:rsid w:val="3BA43334"/>
    <w:rsid w:val="3C76FD46"/>
    <w:rsid w:val="3CDE3CC9"/>
    <w:rsid w:val="3D0D70BB"/>
    <w:rsid w:val="3D13C4C9"/>
    <w:rsid w:val="3D1459DF"/>
    <w:rsid w:val="3D25C355"/>
    <w:rsid w:val="3D5C2623"/>
    <w:rsid w:val="3D8E17B3"/>
    <w:rsid w:val="3D9AF9CA"/>
    <w:rsid w:val="3ED338D8"/>
    <w:rsid w:val="3ED7C185"/>
    <w:rsid w:val="3F45B079"/>
    <w:rsid w:val="3F6A94AA"/>
    <w:rsid w:val="3F71D022"/>
    <w:rsid w:val="3F9562D9"/>
    <w:rsid w:val="3FA02F30"/>
    <w:rsid w:val="3FA5ACAF"/>
    <w:rsid w:val="40025845"/>
    <w:rsid w:val="406A9CAE"/>
    <w:rsid w:val="4096D74E"/>
    <w:rsid w:val="40C8C45A"/>
    <w:rsid w:val="41538F97"/>
    <w:rsid w:val="4158D228"/>
    <w:rsid w:val="4176E539"/>
    <w:rsid w:val="41ABB795"/>
    <w:rsid w:val="41F57CA9"/>
    <w:rsid w:val="42155ACC"/>
    <w:rsid w:val="42681707"/>
    <w:rsid w:val="42C0B1FD"/>
    <w:rsid w:val="42F3FD5A"/>
    <w:rsid w:val="43540C57"/>
    <w:rsid w:val="43D98C6E"/>
    <w:rsid w:val="43F8AF52"/>
    <w:rsid w:val="445EFFC0"/>
    <w:rsid w:val="44EFE886"/>
    <w:rsid w:val="45D9BE1D"/>
    <w:rsid w:val="45F27CBB"/>
    <w:rsid w:val="468C8458"/>
    <w:rsid w:val="46B4E5D6"/>
    <w:rsid w:val="46BCCE01"/>
    <w:rsid w:val="46EDACEE"/>
    <w:rsid w:val="47668A30"/>
    <w:rsid w:val="476A2774"/>
    <w:rsid w:val="47C19960"/>
    <w:rsid w:val="481635AD"/>
    <w:rsid w:val="4851C825"/>
    <w:rsid w:val="486262C4"/>
    <w:rsid w:val="488A4B07"/>
    <w:rsid w:val="48ED4A07"/>
    <w:rsid w:val="49DC121B"/>
    <w:rsid w:val="4A1D21EF"/>
    <w:rsid w:val="4A23B086"/>
    <w:rsid w:val="4A390988"/>
    <w:rsid w:val="4A97B17C"/>
    <w:rsid w:val="4AF02E34"/>
    <w:rsid w:val="4B2F6091"/>
    <w:rsid w:val="4B4D5A4E"/>
    <w:rsid w:val="4CB822AF"/>
    <w:rsid w:val="4D075CBA"/>
    <w:rsid w:val="4D4A9F92"/>
    <w:rsid w:val="4D861160"/>
    <w:rsid w:val="4D95F122"/>
    <w:rsid w:val="4D9E5E6B"/>
    <w:rsid w:val="4DA9FCDD"/>
    <w:rsid w:val="4DC03521"/>
    <w:rsid w:val="4DC03521"/>
    <w:rsid w:val="4E4A0B15"/>
    <w:rsid w:val="4E4E35BF"/>
    <w:rsid w:val="4E7E931C"/>
    <w:rsid w:val="4EAD558B"/>
    <w:rsid w:val="4EC46C3E"/>
    <w:rsid w:val="4EF31BD9"/>
    <w:rsid w:val="4EFE4841"/>
    <w:rsid w:val="4EFEE9AC"/>
    <w:rsid w:val="4F23C646"/>
    <w:rsid w:val="4F3AF14C"/>
    <w:rsid w:val="4F561D07"/>
    <w:rsid w:val="4F8BE74F"/>
    <w:rsid w:val="4F908719"/>
    <w:rsid w:val="4F977832"/>
    <w:rsid w:val="4FB0943D"/>
    <w:rsid w:val="4FE86954"/>
    <w:rsid w:val="50E96C76"/>
    <w:rsid w:val="51DAE408"/>
    <w:rsid w:val="5237003D"/>
    <w:rsid w:val="52376198"/>
    <w:rsid w:val="52680417"/>
    <w:rsid w:val="526D22CC"/>
    <w:rsid w:val="5285B19F"/>
    <w:rsid w:val="53127D9D"/>
    <w:rsid w:val="5333631F"/>
    <w:rsid w:val="535398B8"/>
    <w:rsid w:val="53A703DD"/>
    <w:rsid w:val="53FEB12F"/>
    <w:rsid w:val="5408F65D"/>
    <w:rsid w:val="5408F65D"/>
    <w:rsid w:val="542281DA"/>
    <w:rsid w:val="54C9B89F"/>
    <w:rsid w:val="54D7D46C"/>
    <w:rsid w:val="559953B4"/>
    <w:rsid w:val="559AD896"/>
    <w:rsid w:val="565DA1DF"/>
    <w:rsid w:val="567B4280"/>
    <w:rsid w:val="5699C822"/>
    <w:rsid w:val="56DAF6AE"/>
    <w:rsid w:val="56DF546A"/>
    <w:rsid w:val="57777940"/>
    <w:rsid w:val="57A0251E"/>
    <w:rsid w:val="57BB3F80"/>
    <w:rsid w:val="5815B322"/>
    <w:rsid w:val="585AA3C8"/>
    <w:rsid w:val="58812737"/>
    <w:rsid w:val="58EBEB75"/>
    <w:rsid w:val="590DBAC7"/>
    <w:rsid w:val="599D1FF1"/>
    <w:rsid w:val="59AA5868"/>
    <w:rsid w:val="59DA1E42"/>
    <w:rsid w:val="59F7A235"/>
    <w:rsid w:val="5A02F465"/>
    <w:rsid w:val="5A47D577"/>
    <w:rsid w:val="5A63F388"/>
    <w:rsid w:val="5A6601B7"/>
    <w:rsid w:val="5AB33932"/>
    <w:rsid w:val="5AD0E308"/>
    <w:rsid w:val="5AE0BF9C"/>
    <w:rsid w:val="5B01F565"/>
    <w:rsid w:val="5B355B48"/>
    <w:rsid w:val="5B4EB03C"/>
    <w:rsid w:val="5C002F9A"/>
    <w:rsid w:val="5C56434F"/>
    <w:rsid w:val="5C69401F"/>
    <w:rsid w:val="5C6F604B"/>
    <w:rsid w:val="5C789EE7"/>
    <w:rsid w:val="5C7E6CD5"/>
    <w:rsid w:val="5CA1CA6B"/>
    <w:rsid w:val="5D06C5FA"/>
    <w:rsid w:val="5D25C77A"/>
    <w:rsid w:val="5DC99379"/>
    <w:rsid w:val="5E512CAF"/>
    <w:rsid w:val="5E649140"/>
    <w:rsid w:val="5E7521C8"/>
    <w:rsid w:val="5E98288C"/>
    <w:rsid w:val="5EB58BC4"/>
    <w:rsid w:val="5ED23BC0"/>
    <w:rsid w:val="5FB95D82"/>
    <w:rsid w:val="5FD684E6"/>
    <w:rsid w:val="600C9245"/>
    <w:rsid w:val="60832E25"/>
    <w:rsid w:val="6097E01A"/>
    <w:rsid w:val="60B0E404"/>
    <w:rsid w:val="60F5A72C"/>
    <w:rsid w:val="616CA0C1"/>
    <w:rsid w:val="617BB5C5"/>
    <w:rsid w:val="61E660FA"/>
    <w:rsid w:val="61E660FA"/>
    <w:rsid w:val="61FF52AC"/>
    <w:rsid w:val="62223838"/>
    <w:rsid w:val="6229781B"/>
    <w:rsid w:val="62A3EA40"/>
    <w:rsid w:val="62F7B116"/>
    <w:rsid w:val="6325D074"/>
    <w:rsid w:val="633DEDCE"/>
    <w:rsid w:val="6340C224"/>
    <w:rsid w:val="6343DC9F"/>
    <w:rsid w:val="63B291A5"/>
    <w:rsid w:val="63B689EA"/>
    <w:rsid w:val="63C710BC"/>
    <w:rsid w:val="63E0F2B7"/>
    <w:rsid w:val="640FFA6C"/>
    <w:rsid w:val="645080DE"/>
    <w:rsid w:val="64542989"/>
    <w:rsid w:val="64626A33"/>
    <w:rsid w:val="64A75DBD"/>
    <w:rsid w:val="64B44C07"/>
    <w:rsid w:val="64EAAF4B"/>
    <w:rsid w:val="6511A30C"/>
    <w:rsid w:val="6594BCC8"/>
    <w:rsid w:val="65AC971B"/>
    <w:rsid w:val="65F42225"/>
    <w:rsid w:val="660F2803"/>
    <w:rsid w:val="6656AA16"/>
    <w:rsid w:val="667316B7"/>
    <w:rsid w:val="6674C578"/>
    <w:rsid w:val="66C62840"/>
    <w:rsid w:val="66D873F5"/>
    <w:rsid w:val="66DCFF29"/>
    <w:rsid w:val="66DD3EAD"/>
    <w:rsid w:val="6705AD64"/>
    <w:rsid w:val="671FF67D"/>
    <w:rsid w:val="67C1FEE6"/>
    <w:rsid w:val="6821B8AD"/>
    <w:rsid w:val="68248A88"/>
    <w:rsid w:val="683C022B"/>
    <w:rsid w:val="68FB45F8"/>
    <w:rsid w:val="6977C6E3"/>
    <w:rsid w:val="69E5E8B4"/>
    <w:rsid w:val="6AB03D60"/>
    <w:rsid w:val="6AF68071"/>
    <w:rsid w:val="6AF6ED53"/>
    <w:rsid w:val="6B09E467"/>
    <w:rsid w:val="6B7301C2"/>
    <w:rsid w:val="6C08C434"/>
    <w:rsid w:val="6C2306DF"/>
    <w:rsid w:val="6C94BB90"/>
    <w:rsid w:val="6C9A2125"/>
    <w:rsid w:val="6D7107E5"/>
    <w:rsid w:val="6D722D4F"/>
    <w:rsid w:val="6E2D0607"/>
    <w:rsid w:val="6E52C41D"/>
    <w:rsid w:val="6E65C59F"/>
    <w:rsid w:val="6EAE069A"/>
    <w:rsid w:val="6EF2C143"/>
    <w:rsid w:val="6F275ACF"/>
    <w:rsid w:val="6F3D738C"/>
    <w:rsid w:val="6F5573F2"/>
    <w:rsid w:val="6F9E5F8B"/>
    <w:rsid w:val="7022D5AB"/>
    <w:rsid w:val="70801416"/>
    <w:rsid w:val="70C12794"/>
    <w:rsid w:val="70F8849A"/>
    <w:rsid w:val="713CB176"/>
    <w:rsid w:val="718CC47E"/>
    <w:rsid w:val="71BC0B51"/>
    <w:rsid w:val="71E70EB6"/>
    <w:rsid w:val="721C396C"/>
    <w:rsid w:val="724E471D"/>
    <w:rsid w:val="72AEA26D"/>
    <w:rsid w:val="72D9EB9C"/>
    <w:rsid w:val="72FA10E0"/>
    <w:rsid w:val="73505A29"/>
    <w:rsid w:val="735F8F10"/>
    <w:rsid w:val="7369356D"/>
    <w:rsid w:val="739C4F75"/>
    <w:rsid w:val="74211413"/>
    <w:rsid w:val="7430C2B3"/>
    <w:rsid w:val="746BFF4F"/>
    <w:rsid w:val="748C20F1"/>
    <w:rsid w:val="749CEE48"/>
    <w:rsid w:val="75169439"/>
    <w:rsid w:val="75169439"/>
    <w:rsid w:val="7530F556"/>
    <w:rsid w:val="755AFC44"/>
    <w:rsid w:val="756AC914"/>
    <w:rsid w:val="7595B943"/>
    <w:rsid w:val="75CFD1E6"/>
    <w:rsid w:val="765DDB67"/>
    <w:rsid w:val="766CD091"/>
    <w:rsid w:val="76747442"/>
    <w:rsid w:val="76D1A465"/>
    <w:rsid w:val="76D988F9"/>
    <w:rsid w:val="76F017E5"/>
    <w:rsid w:val="771B3BD1"/>
    <w:rsid w:val="776CD7B2"/>
    <w:rsid w:val="777D96D6"/>
    <w:rsid w:val="778628E5"/>
    <w:rsid w:val="778DB192"/>
    <w:rsid w:val="77C3CFD6"/>
    <w:rsid w:val="788D3FD7"/>
    <w:rsid w:val="78B5A9E1"/>
    <w:rsid w:val="78CA0A74"/>
    <w:rsid w:val="7917C764"/>
    <w:rsid w:val="79250780"/>
    <w:rsid w:val="7977AE7B"/>
    <w:rsid w:val="79DA90FB"/>
    <w:rsid w:val="79DBF741"/>
    <w:rsid w:val="7AC12CA6"/>
    <w:rsid w:val="7ADE1FE7"/>
    <w:rsid w:val="7B01C75B"/>
    <w:rsid w:val="7B453208"/>
    <w:rsid w:val="7B55F4B2"/>
    <w:rsid w:val="7BE8FC70"/>
    <w:rsid w:val="7C623C15"/>
    <w:rsid w:val="7D2290BC"/>
    <w:rsid w:val="7D5B77CC"/>
    <w:rsid w:val="7D91D2C4"/>
    <w:rsid w:val="7D9CDC6B"/>
    <w:rsid w:val="7DD6DF99"/>
    <w:rsid w:val="7DF53FBB"/>
    <w:rsid w:val="7E0B81E3"/>
    <w:rsid w:val="7E19138E"/>
    <w:rsid w:val="7E1953BF"/>
    <w:rsid w:val="7E1E3A14"/>
    <w:rsid w:val="7E39CCEB"/>
    <w:rsid w:val="7E91EE16"/>
    <w:rsid w:val="7EC504DE"/>
    <w:rsid w:val="7F1402B0"/>
    <w:rsid w:val="7F482AB3"/>
    <w:rsid w:val="7F4A192B"/>
    <w:rsid w:val="7F7B3A0F"/>
    <w:rsid w:val="7F7BF3DA"/>
    <w:rsid w:val="7FC1AD53"/>
  </w:rsids>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header" Target="/word/header.xml" Id="Rc985c9a0d93744bd" /><Relationship Type="http://schemas.openxmlformats.org/officeDocument/2006/relationships/footer" Target="/word/footer.xml" Id="R01d2e1bba62b47cb" /><Relationship Type="http://schemas.openxmlformats.org/officeDocument/2006/relationships/image" Target="/media/image69.jpg" Id="R0e381aed8f5c4189" /><Relationship Type="http://schemas.openxmlformats.org/officeDocument/2006/relationships/image" Target="/media/image6a.jpg" Id="Rbc141b191b0645dc" /><Relationship Type="http://schemas.openxmlformats.org/officeDocument/2006/relationships/image" Target="/media/image6b.jpg" Id="Re37247998b0f4c72" /><Relationship Type="http://schemas.openxmlformats.org/officeDocument/2006/relationships/image" Target="/media/image6c.jpg" Id="Ra1f8c846a8f848ae" /><Relationship Type="http://schemas.openxmlformats.org/officeDocument/2006/relationships/image" Target="/media/image6e.jpg" Id="Re9b79a93c468402b" /><Relationship Type="http://schemas.openxmlformats.org/officeDocument/2006/relationships/image" Target="/media/image70.jpg" Id="R8d97ebf386284b68" /><Relationship Type="http://schemas.openxmlformats.org/officeDocument/2006/relationships/image" Target="/media/image72.jpg" Id="Ra97ab294aba34a9e" /><Relationship Type="http://schemas.openxmlformats.org/officeDocument/2006/relationships/image" Target="/media/image74.jpg" Id="Rbbd2957073354783" /><Relationship Type="http://schemas.openxmlformats.org/officeDocument/2006/relationships/image" Target="/media/image76.jpg" Id="Rd17e664fd6674352" /><Relationship Type="http://schemas.openxmlformats.org/officeDocument/2006/relationships/image" Target="/media/image78.jpg" Id="R45ec0a245f3c43c3" /><Relationship Type="http://schemas.openxmlformats.org/officeDocument/2006/relationships/image" Target="/media/image79.jpg" Id="R98f9dec2a89949d2" /><Relationship Type="http://schemas.openxmlformats.org/officeDocument/2006/relationships/image" Target="/media/image7a.jpg" Id="Re4ec293c50024cd2" /><Relationship Type="http://schemas.openxmlformats.org/officeDocument/2006/relationships/image" Target="/media/image7c.jpg" Id="R79b3e666a01c4396" /><Relationship Type="http://schemas.openxmlformats.org/officeDocument/2006/relationships/image" Target="/media/image7d.jpg" Id="R38e973b468214594" /><Relationship Type="http://schemas.openxmlformats.org/officeDocument/2006/relationships/image" Target="/media/image7e.jpg" Id="Rbcea826b975b4f11" /><Relationship Type="http://schemas.openxmlformats.org/officeDocument/2006/relationships/image" Target="/media/image80.jpg" Id="R227dcbc625e849e8" /><Relationship Type="http://schemas.openxmlformats.org/officeDocument/2006/relationships/image" Target="/media/image81.jpg" Id="Recdbf41368d84ad4" /><Relationship Type="http://schemas.openxmlformats.org/officeDocument/2006/relationships/image" Target="/media/image82.jpg" Id="R74a52153f8584bc9" /><Relationship Type="http://schemas.openxmlformats.org/officeDocument/2006/relationships/image" Target="/media/image84.jpg" Id="Ra095de6d28cc42dc" /><Relationship Type="http://schemas.openxmlformats.org/officeDocument/2006/relationships/image" Target="/media/image85.jpg" Id="R69f807301ac944ea" /><Relationship Type="http://schemas.openxmlformats.org/officeDocument/2006/relationships/image" Target="/media/image86.jpg" Id="Rc4ccafd65d1d4074" /><Relationship Type="http://schemas.openxmlformats.org/officeDocument/2006/relationships/image" Target="/media/image87.jpg" Id="R13379ec728d543ef" /><Relationship Type="http://schemas.openxmlformats.org/officeDocument/2006/relationships/image" Target="/media/image88.jpg" Id="R1b064cf5a3a44e21" /><Relationship Type="http://schemas.openxmlformats.org/officeDocument/2006/relationships/image" Target="/media/image89.jpg" Id="Rc608ca3377ed4229" /><Relationship Type="http://schemas.openxmlformats.org/officeDocument/2006/relationships/image" Target="/media/image8a.jpg" Id="R88d73c7e61cd4a39" /><Relationship Type="http://schemas.openxmlformats.org/officeDocument/2006/relationships/image" Target="/media/image8c.jpg" Id="R0d53b8c712c74276" /><Relationship Type="http://schemas.openxmlformats.org/officeDocument/2006/relationships/image" Target="/media/image8e.jpg" Id="R20b18470096f43a1" /><Relationship Type="http://schemas.openxmlformats.org/officeDocument/2006/relationships/image" Target="/media/image8f.jpg" Id="Ra735f18c927b4f61" /><Relationship Type="http://schemas.openxmlformats.org/officeDocument/2006/relationships/image" Target="/media/image90.jpg" Id="Re50a36c43b1e4dcc" /><Relationship Type="http://schemas.openxmlformats.org/officeDocument/2006/relationships/image" Target="/media/image92.jpg" Id="R7388f61384af4242" /><Relationship Type="http://schemas.openxmlformats.org/officeDocument/2006/relationships/image" Target="/media/image94.jpg" Id="R58b7663f16604413" /><Relationship Type="http://schemas.openxmlformats.org/officeDocument/2006/relationships/image" Target="/media/image95.jpg" Id="R391bb784ffb14dc5" /><Relationship Type="http://schemas.openxmlformats.org/officeDocument/2006/relationships/image" Target="/media/image96.jpg" Id="R86229750f3044cc0" /><Relationship Type="http://schemas.openxmlformats.org/officeDocument/2006/relationships/image" Target="/media/image98.jpg" Id="Rd9ce8417e78342c9" /><Relationship Type="http://schemas.openxmlformats.org/officeDocument/2006/relationships/image" Target="/media/image9a.jpg" Id="Rcc4645e4c5114c6c" /><Relationship Type="http://schemas.openxmlformats.org/officeDocument/2006/relationships/image" Target="/media/image9b.jpg" Id="Re8025ceb00f54c4c" /><Relationship Type="http://schemas.openxmlformats.org/officeDocument/2006/relationships/image" Target="/media/image9c.jpg" Id="R8c6c7b27d90049fc" /><Relationship Type="http://schemas.openxmlformats.org/officeDocument/2006/relationships/image" Target="/media/image9d.jpg" Id="R849fdc2189e14176" /><Relationship Type="http://schemas.openxmlformats.org/officeDocument/2006/relationships/image" Target="/media/image9e.jpg" Id="Rb2280e1b63854f22" /><Relationship Type="http://schemas.openxmlformats.org/officeDocument/2006/relationships/image" Target="/media/image9f.jpg" Id="Rb3e85d417f8040a4" /><Relationship Type="http://schemas.openxmlformats.org/officeDocument/2006/relationships/image" Target="/media/imagea0.jpg" Id="Ra01f662e8e274157" /><Relationship Type="http://schemas.openxmlformats.org/officeDocument/2006/relationships/image" Target="/media/imagea1.jpg" Id="R6d4238ce0f1d4541" /><Relationship Type="http://schemas.openxmlformats.org/officeDocument/2006/relationships/image" Target="/media/imagea2.jpg" Id="Rb554d58c0f72422c" /><Relationship Type="http://schemas.openxmlformats.org/officeDocument/2006/relationships/image" Target="/media/imagea3.jpg" Id="Rb580c5d0b8384c7e" /><Relationship Type="http://schemas.openxmlformats.org/officeDocument/2006/relationships/image" Target="/media/imagea4.jpg" Id="R312052996472431b" /><Relationship Type="http://schemas.openxmlformats.org/officeDocument/2006/relationships/image" Target="/media/imagea6.jpg" Id="R4cab5bd255cb4342" /><Relationship Type="http://schemas.openxmlformats.org/officeDocument/2006/relationships/image" Target="/media/imagea8.jpg" Id="R8acc1948050a4ae1" /><Relationship Type="http://schemas.openxmlformats.org/officeDocument/2006/relationships/image" Target="/media/imagea9.jpg" Id="Reb20ee9d17ae494e" /><Relationship Type="http://schemas.openxmlformats.org/officeDocument/2006/relationships/image" Target="/media/imageaa.jpg" Id="R27eeb69258e44744" /><Relationship Type="http://schemas.openxmlformats.org/officeDocument/2006/relationships/image" Target="/media/imageab.jpg" Id="R7bec47388c294cc8" /><Relationship Type="http://schemas.openxmlformats.org/officeDocument/2006/relationships/image" Target="/media/imageac.jpg" Id="R1025c7ba9c3242a4" /><Relationship Type="http://schemas.openxmlformats.org/officeDocument/2006/relationships/image" Target="/media/imagead.jpg" Id="R09d9c2496eaa428a" /><Relationship Type="http://schemas.openxmlformats.org/officeDocument/2006/relationships/image" Target="/media/image46.jpg" Id="R238a7ecce1474f75" /><Relationship Type="http://schemas.openxmlformats.org/officeDocument/2006/relationships/image" Target="/media/image47.jpg" Id="Rd01fc19501ef4ee6" /><Relationship Type="http://schemas.openxmlformats.org/officeDocument/2006/relationships/image" Target="/media/image48.jpg" Id="R4a3467ed0dce4ff6" /><Relationship Type="http://schemas.openxmlformats.org/officeDocument/2006/relationships/image" Target="/media/image49.jpg" Id="Rd153124a891d4e2d" /><Relationship Type="http://schemas.openxmlformats.org/officeDocument/2006/relationships/image" Target="/media/image4b.jpg" Id="R665cee16b0f745db" /><Relationship Type="http://schemas.openxmlformats.org/officeDocument/2006/relationships/image" Target="/media/image4c.jpg" Id="R483a3733003c4461" /><Relationship Type="http://schemas.openxmlformats.org/officeDocument/2006/relationships/image" Target="/media/image4f.jpg" Id="R82a3b6d6cf9d42a9" /><Relationship Type="http://schemas.openxmlformats.org/officeDocument/2006/relationships/image" Target="/media/image50.jpg" Id="R329030f6a78f4495" /><Relationship Type="http://schemas.openxmlformats.org/officeDocument/2006/relationships/image" Target="/media/image51.jpg" Id="R4683d90521e14ac7" /><Relationship Type="http://schemas.openxmlformats.org/officeDocument/2006/relationships/image" Target="/media/image53.jpg" Id="R1a97627551164607" /><Relationship Type="http://schemas.openxmlformats.org/officeDocument/2006/relationships/image" Target="/media/image54.jpg" Id="R97cec12a67f44dc4" /><Relationship Type="http://schemas.openxmlformats.org/officeDocument/2006/relationships/image" Target="/media/image55.jpg" Id="R803081468b774f72" /><Relationship Type="http://schemas.openxmlformats.org/officeDocument/2006/relationships/image" Target="/media/image56.jpg" Id="R67ee9a147e944d6a" /><Relationship Type="http://schemas.openxmlformats.org/officeDocument/2006/relationships/image" Target="/media/image57.jpg" Id="Rd851031475ca4899" /><Relationship Type="http://schemas.openxmlformats.org/officeDocument/2006/relationships/image" Target="/media/image58.jpg" Id="Rd18fb5c49d7a4a60" /><Relationship Type="http://schemas.openxmlformats.org/officeDocument/2006/relationships/image" Target="/media/image59.jpg" Id="R644405ad57ca444c" /><Relationship Type="http://schemas.openxmlformats.org/officeDocument/2006/relationships/image" Target="/media/image5a.jpg" Id="R53e2c71a9ce744d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Office Word</ap:Application>
  <ap:DocSecurity>0</ap:DocSecurity>
  <ap:ScaleCrop>false</ap:ScaleCrop>
  <ap:Company/>
  <ap:SharedDoc>false</ap:SharedDoc>
  <ap:HyperlinksChanged>false</ap:HyperlinksChanged>
  <ap:AppVersion>00.0001</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2020-05-13T17:49:48.0559506Z</dcterms:created>
  <dcterms:modified xsi:type="dcterms:W3CDTF">2020-06-16T13:52:39.4303971Z</dcterms:modified>
  <dc:creator>Rotsztain, Jonathan (MGCS)</dc:creator>
  <lastModifiedBy>Rotsztain, Jonathan (MGCS)</lastModifiedBy>
</coreProperties>
</file>